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DEE72" w14:textId="77777777" w:rsidR="005730DD" w:rsidRPr="005730DD" w:rsidRDefault="005730DD" w:rsidP="005730DD">
      <w:pPr>
        <w:bidi/>
        <w:rPr>
          <w:b/>
          <w:bCs/>
        </w:rPr>
      </w:pPr>
      <w:r w:rsidRPr="005730DD">
        <w:rPr>
          <w:b/>
          <w:bCs/>
          <w:rtl/>
        </w:rPr>
        <w:t>الضريبة على العقارات المبنية</w:t>
      </w:r>
    </w:p>
    <w:p w14:paraId="7F4163AD" w14:textId="77777777" w:rsidR="005730DD" w:rsidRPr="005730DD" w:rsidRDefault="005730DD" w:rsidP="005730DD">
      <w:pPr>
        <w:bidi/>
      </w:pPr>
      <w:bookmarkStart w:id="0" w:name="1"/>
      <w:r w:rsidRPr="005730DD">
        <w:rPr>
          <w:rtl/>
        </w:rPr>
        <w:t>الضريبة العقارية ليست ضريبة جديدة</w:t>
      </w:r>
      <w:bookmarkEnd w:id="0"/>
    </w:p>
    <w:p w14:paraId="0A99E301" w14:textId="77777777" w:rsidR="005730DD" w:rsidRPr="005730DD" w:rsidRDefault="005730DD" w:rsidP="005730DD">
      <w:pPr>
        <w:bidi/>
      </w:pPr>
      <w:r w:rsidRPr="005730DD">
        <w:rPr>
          <w:rtl/>
        </w:rPr>
        <w:t>القانون رقم 196 لسنة 2008 بشأن الضريبة العقارية لا يفرض ضريبة جديدة ، فهى ضريبة مفروضة بالفعل بموجب القانون رقم 56 لسنة 1954 وقد تعارف عليها المجتمع بــ " العوايد " ، وقد أعيد تنظيم أحكامها بالقانون الحالى</w:t>
      </w:r>
      <w:r w:rsidRPr="005730DD">
        <w:t xml:space="preserve"> .</w:t>
      </w:r>
    </w:p>
    <w:p w14:paraId="4CA65A48" w14:textId="77777777" w:rsidR="005730DD" w:rsidRPr="005730DD" w:rsidRDefault="005730DD" w:rsidP="005730DD">
      <w:pPr>
        <w:bidi/>
      </w:pPr>
      <w:bookmarkStart w:id="1" w:name="2"/>
      <w:r w:rsidRPr="005730DD">
        <w:rPr>
          <w:rtl/>
        </w:rPr>
        <w:t xml:space="preserve">المكلف بأداء الضريبة </w:t>
      </w:r>
      <w:bookmarkEnd w:id="1"/>
    </w:p>
    <w:p w14:paraId="24E2497C" w14:textId="77777777" w:rsidR="005730DD" w:rsidRPr="005730DD" w:rsidRDefault="005730DD" w:rsidP="005730DD">
      <w:pPr>
        <w:bidi/>
      </w:pPr>
      <w:r w:rsidRPr="005730DD">
        <w:rPr>
          <w:rtl/>
        </w:rPr>
        <w:t>المكلف بأداء الضريبة هو الشخص الطبيعى أو الإعتبارى الذى له الحق فى ملكية العقار أو الانتفاع به أو استغلاله ، أما المستأجر فلا يعد - مكلفا بأداء الضريبة - وإنما يعد متضامناً مع المكلف فى سداد الضريبة فى حدود الأجرة المستحقة عليه</w:t>
      </w:r>
      <w:r w:rsidRPr="005730DD">
        <w:t xml:space="preserve"> .</w:t>
      </w:r>
    </w:p>
    <w:p w14:paraId="1829DEE9" w14:textId="77777777" w:rsidR="005730DD" w:rsidRPr="005730DD" w:rsidRDefault="005730DD" w:rsidP="005730DD">
      <w:pPr>
        <w:bidi/>
      </w:pPr>
      <w:bookmarkStart w:id="2" w:name="3"/>
      <w:r w:rsidRPr="005730DD">
        <w:rPr>
          <w:rtl/>
        </w:rPr>
        <w:t xml:space="preserve">العقارات التى تخضع للضريبة العقارية </w:t>
      </w:r>
      <w:bookmarkEnd w:id="2"/>
    </w:p>
    <w:p w14:paraId="1959415A" w14:textId="77777777" w:rsidR="005730DD" w:rsidRPr="005730DD" w:rsidRDefault="005730DD" w:rsidP="005730DD">
      <w:pPr>
        <w:bidi/>
      </w:pPr>
      <w:r w:rsidRPr="005730DD">
        <w:rPr>
          <w:rtl/>
        </w:rPr>
        <w:t>تسرى هذه الضريبة على كافة العقارات المبنية المقامة على أرض مصر عدا غير الخاضعة للضريبة. سواء كانت مؤجرة أو يقيم فيها المالك المكلف بأداء الضريبة بنفسه وسواء كانت تامة ومشغولة ، أو تامة وغير مشغولة ، أو مشغولة على غير إتمام ، ويعنى هذا أن كافة المبانى القائمة حالياً خاضعة للضريبة سواء كانت فيلات مبنية أو عمارات أو عوامات أو شاليهات ، أياً كان موقعها الجغرافى</w:t>
      </w:r>
      <w:r w:rsidRPr="005730DD">
        <w:t xml:space="preserve"> .</w:t>
      </w:r>
      <w:r w:rsidRPr="005730DD">
        <w:br/>
      </w:r>
      <w:r w:rsidRPr="005730DD">
        <w:br/>
      </w:r>
      <w:r w:rsidRPr="005730DD">
        <w:rPr>
          <w:rtl/>
        </w:rPr>
        <w:t>وتفرض الضريبة أيضاً على الأراضى الفضاء المستغلة جراجات ـ مشاتل ـ مؤجرة وغيرها ، على أن ترفع الضريبة إذا أصبحت الأراضى الفضاء غير مستغلة</w:t>
      </w:r>
      <w:r w:rsidRPr="005730DD">
        <w:t xml:space="preserve"> .</w:t>
      </w:r>
      <w:r w:rsidRPr="005730DD">
        <w:br/>
      </w:r>
      <w:r w:rsidRPr="005730DD">
        <w:br/>
      </w:r>
      <w:r w:rsidRPr="005730DD">
        <w:rPr>
          <w:rtl/>
        </w:rPr>
        <w:t>كما تخضع للضريبة التركيبات التى تقام على أسطح أو واجهات العقارات إذا كانت مؤجرة أو كان التركيب مقابل نفع أو أجر والمقصود بالعقار فى القانون الجديد هو كل وحدة سكنية وغير سكنية فى المبنى وليس المبنى بالكامل</w:t>
      </w:r>
      <w:r w:rsidRPr="005730DD">
        <w:t xml:space="preserve"> .</w:t>
      </w:r>
    </w:p>
    <w:p w14:paraId="102CCFB9" w14:textId="1434607A" w:rsidR="005730DD" w:rsidRPr="005730DD" w:rsidRDefault="005730DD" w:rsidP="005730DD">
      <w:pPr>
        <w:bidi/>
      </w:pPr>
      <w:r w:rsidRPr="005730DD">
        <w:drawing>
          <wp:inline distT="0" distB="0" distL="0" distR="0" wp14:anchorId="48C1C1E5" wp14:editId="544C7514">
            <wp:extent cx="3810000" cy="2857500"/>
            <wp:effectExtent l="0" t="0" r="0" b="0"/>
            <wp:docPr id="1398933820" name="صورة 4" descr="Real Estate T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al Estate Tax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14:paraId="22299E43" w14:textId="77777777" w:rsidR="005730DD" w:rsidRPr="005730DD" w:rsidRDefault="005730DD" w:rsidP="005730DD">
      <w:pPr>
        <w:bidi/>
      </w:pPr>
      <w:r w:rsidRPr="005730DD">
        <w:t> </w:t>
      </w:r>
      <w:bookmarkStart w:id="3" w:name="4"/>
      <w:r w:rsidRPr="005730DD">
        <w:rPr>
          <w:rtl/>
        </w:rPr>
        <w:t xml:space="preserve">العقارات التى لا تخضع للضريبة العقارية </w:t>
      </w:r>
      <w:bookmarkEnd w:id="3"/>
    </w:p>
    <w:p w14:paraId="31A930B4" w14:textId="77777777" w:rsidR="005730DD" w:rsidRPr="005730DD" w:rsidRDefault="005730DD" w:rsidP="005730DD">
      <w:pPr>
        <w:bidi/>
      </w:pPr>
      <w:r w:rsidRPr="005730DD">
        <w:rPr>
          <w:rtl/>
        </w:rPr>
        <w:t>لا تخضع للضريبة</w:t>
      </w:r>
      <w:r w:rsidRPr="005730DD">
        <w:t xml:space="preserve"> :</w:t>
      </w:r>
      <w:r w:rsidRPr="005730DD">
        <w:br/>
      </w:r>
      <w:r w:rsidRPr="005730DD">
        <w:rPr>
          <w:rtl/>
        </w:rPr>
        <w:t>أ - العقارات المبنية المملوكة للدولـة والمخصصـة لغرض ذى نفـع عـام</w:t>
      </w:r>
      <w:r w:rsidRPr="005730DD">
        <w:t xml:space="preserve"> .</w:t>
      </w:r>
      <w:r w:rsidRPr="005730DD">
        <w:br/>
      </w:r>
      <w:r w:rsidRPr="005730DD">
        <w:rPr>
          <w:rtl/>
        </w:rPr>
        <w:lastRenderedPageBreak/>
        <w:t>وكذا العقارات المبنية المملوكة للدولة ملكية خاصة على أن تخضع للضريبة من أول الشهر التالى لتاريخ التصرف فيها للأفراد أو للأشخاص الاعتبارية . ب</w:t>
      </w:r>
      <w:r w:rsidRPr="005730DD">
        <w:t xml:space="preserve"> - </w:t>
      </w:r>
      <w:r w:rsidRPr="005730DD">
        <w:rPr>
          <w:rtl/>
        </w:rPr>
        <w:t>الأبنية المخصصة لإقامة الشعائر الدينية أو لتعليم الدين</w:t>
      </w:r>
      <w:r w:rsidRPr="005730DD">
        <w:t>.</w:t>
      </w:r>
      <w:r w:rsidRPr="005730DD">
        <w:br/>
      </w:r>
      <w:r w:rsidRPr="005730DD">
        <w:rPr>
          <w:rtl/>
        </w:rPr>
        <w:t>ج - العقارات المبنية التى تنزع ملكيتها للمنفعة العامة وذلك من تاريخ الاستيلاء الفعلى بواسطة الجهات التى نزعت ملكيتها</w:t>
      </w:r>
      <w:r w:rsidRPr="005730DD">
        <w:t xml:space="preserve"> .</w:t>
      </w:r>
      <w:r w:rsidRPr="005730DD">
        <w:br/>
      </w:r>
      <w:r w:rsidRPr="005730DD">
        <w:rPr>
          <w:rtl/>
        </w:rPr>
        <w:t>د - الأحواش ومبانى الجبانات</w:t>
      </w:r>
      <w:r w:rsidRPr="005730DD">
        <w:t xml:space="preserve"> .</w:t>
      </w:r>
      <w:r w:rsidRPr="005730DD">
        <w:br/>
      </w:r>
      <w:r w:rsidRPr="005730DD">
        <w:rPr>
          <w:rtl/>
        </w:rPr>
        <w:t>كما تعد المبانى تحت الإنشاء غير خاضعة للضريبة</w:t>
      </w:r>
      <w:r w:rsidRPr="005730DD">
        <w:t xml:space="preserve"> .</w:t>
      </w:r>
    </w:p>
    <w:p w14:paraId="42BE445B" w14:textId="77777777" w:rsidR="005730DD" w:rsidRPr="005730DD" w:rsidRDefault="005730DD" w:rsidP="005730DD">
      <w:pPr>
        <w:bidi/>
      </w:pPr>
      <w:bookmarkStart w:id="4" w:name="5"/>
      <w:r w:rsidRPr="005730DD">
        <w:rPr>
          <w:rtl/>
        </w:rPr>
        <w:t xml:space="preserve">العقارات المعفاة من الضريبة العقارية </w:t>
      </w:r>
      <w:bookmarkEnd w:id="4"/>
    </w:p>
    <w:p w14:paraId="18511E2B" w14:textId="77777777" w:rsidR="005730DD" w:rsidRPr="005730DD" w:rsidRDefault="005730DD" w:rsidP="005730DD">
      <w:pPr>
        <w:bidi/>
      </w:pPr>
      <w:r w:rsidRPr="005730DD">
        <w:rPr>
          <w:rtl/>
        </w:rPr>
        <w:t>تعفى من الضريبة</w:t>
      </w:r>
      <w:r w:rsidRPr="005730DD">
        <w:t xml:space="preserve"> :</w:t>
      </w:r>
      <w:r w:rsidRPr="005730DD">
        <w:br/>
      </w:r>
      <w:r w:rsidRPr="005730DD">
        <w:rPr>
          <w:rtl/>
        </w:rPr>
        <w:t>أ - الأبنية المملوكة للجمعيات المسجلة وفقا للقانون والمنظمات العمالية المخصصة لمكاتب إداراتها أو لممارسة الأغراض التى أنشئت من أجلها</w:t>
      </w:r>
      <w:r w:rsidRPr="005730DD">
        <w:t xml:space="preserve"> .</w:t>
      </w:r>
      <w:r w:rsidRPr="005730DD">
        <w:br/>
      </w:r>
      <w:r w:rsidRPr="005730DD">
        <w:rPr>
          <w:rtl/>
        </w:rPr>
        <w:t>ب - أبنية المؤسسات التعليمية والمستشفيات والمستوصفات والملاجئ والمبرات التى لا تهدف إلى الربح</w:t>
      </w:r>
      <w:r w:rsidRPr="005730DD">
        <w:t xml:space="preserve"> .</w:t>
      </w:r>
      <w:r w:rsidRPr="005730DD">
        <w:br/>
      </w:r>
      <w:r w:rsidRPr="005730DD">
        <w:rPr>
          <w:rtl/>
        </w:rPr>
        <w:t>ج - المقار المملوكة للأحزاب السياسية المهنية بشرط أن يتم استخدامها فى الأغراض المخصصة لها</w:t>
      </w:r>
      <w:r w:rsidRPr="005730DD">
        <w:t xml:space="preserve"> .</w:t>
      </w:r>
      <w:r w:rsidRPr="005730DD">
        <w:br/>
      </w:r>
      <w:r w:rsidRPr="005730DD">
        <w:rPr>
          <w:rtl/>
        </w:rPr>
        <w:t xml:space="preserve">د - الوحدة العقارية التى يتخذها المكلف سكناً خاصاً رئيسياً له ولأسرته والتى تقل صافى قيمتها الإيجارية السنوية عن 24000 ( أربعة وعشرون ألف جنيه </w:t>
      </w:r>
      <w:r w:rsidRPr="005730DD">
        <w:t>)</w:t>
      </w:r>
      <w:r w:rsidRPr="005730DD">
        <w:rPr>
          <w:rtl/>
        </w:rPr>
        <w:t>على يخضع ما زاد على ذلك للضريبة ، وتشمل الأسرة فى تطبيق حكم هذا البند المكلف وزوجه والأولاد القصر</w:t>
      </w:r>
      <w:r w:rsidRPr="005730DD">
        <w:t xml:space="preserve"> .</w:t>
      </w:r>
      <w:r w:rsidRPr="005730DD">
        <w:br/>
      </w:r>
      <w:r w:rsidRPr="005730DD">
        <w:rPr>
          <w:rtl/>
        </w:rPr>
        <w:t>هـ - كل وحدة فى عقار مستعملة فى أغراض تجارية أو صناعية أو إدارية أو مهنية يقل صافى قيمتها الإيجارية السنوية عن 1200 جنيه ( ألف ومائتى جنيه ) على أن يخضع ما زاد للضريبة</w:t>
      </w:r>
      <w:r w:rsidRPr="005730DD">
        <w:t xml:space="preserve"> .</w:t>
      </w:r>
      <w:r w:rsidRPr="005730DD">
        <w:br/>
      </w:r>
      <w:r w:rsidRPr="005730DD">
        <w:rPr>
          <w:rtl/>
        </w:rPr>
        <w:t>و - أبنية مراكز الشباب والرياضة المنشأة وفقاً للقوانين المنظمة لها</w:t>
      </w:r>
      <w:r w:rsidRPr="005730DD">
        <w:t>.</w:t>
      </w:r>
      <w:r w:rsidRPr="005730DD">
        <w:br/>
      </w:r>
      <w:r w:rsidRPr="005730DD">
        <w:rPr>
          <w:rtl/>
        </w:rPr>
        <w:t>ز - العقارات المملوكة للجهات الحكومية الأجنبية بشرط المعاملة بالمثل فإذا لم يكن للضريبة مثيل فى أى من الدول الأجنبية جاز للوزير بعد أخذ رأى وزير الخارجية إعفاء العقارات المملوكة لها من الضريبة</w:t>
      </w:r>
      <w:r w:rsidRPr="005730DD">
        <w:t xml:space="preserve"> .</w:t>
      </w:r>
      <w:r w:rsidRPr="005730DD">
        <w:br/>
      </w:r>
      <w:r w:rsidRPr="005730DD">
        <w:rPr>
          <w:rtl/>
        </w:rPr>
        <w:t>ط - الدور المخصصة لاستخدامها فى مناسبات اجتماعية دون استهداف الربح</w:t>
      </w:r>
      <w:r w:rsidRPr="005730DD">
        <w:t xml:space="preserve"> .</w:t>
      </w:r>
      <w:r w:rsidRPr="005730DD">
        <w:br/>
      </w:r>
      <w:r w:rsidRPr="005730DD">
        <w:rPr>
          <w:rtl/>
        </w:rPr>
        <w:t>ى - أندية وفنادق القوات المسلحة والمجمعات والمراكز الطبية والمستشفيات والعيادات العسكرية والعقارات المبنية فى نطاقها وغيرها من الوحدات التى تقترحها هيئة عمليات القوات المسلحة على أن يصدر بتحديدها قرار من وزير الدفاع بالاتفاق مع الوزير المختص وفى جميع الأحوال لا تخضع أياً من هذه الجهات لأعمال لجان الحصر والتقدير وفقاً لما تقتضيه اعتبارات شئون الدفاع ومتطلبات الأمن القومى</w:t>
      </w:r>
      <w:r w:rsidRPr="005730DD">
        <w:t xml:space="preserve"> .</w:t>
      </w:r>
      <w:r w:rsidRPr="005730DD">
        <w:br/>
      </w:r>
      <w:r w:rsidRPr="005730DD">
        <w:rPr>
          <w:rtl/>
        </w:rPr>
        <w:t xml:space="preserve">كما أبقى القانون الجديد على الإعفاءات المقررة للعقارات المبنية الخاضعة لنظم تحديد الأجرة وفقاً لأحكام القانونين رقمى 49 لسنة 1977 ، 136 لسنة </w:t>
      </w:r>
      <w:r w:rsidRPr="005730DD">
        <w:t xml:space="preserve">1981 </w:t>
      </w:r>
      <w:r w:rsidRPr="005730DD">
        <w:rPr>
          <w:rtl/>
        </w:rPr>
        <w:t>والقوانين الخاصة بإيجار الأماكن الصادرة قبلهما إلى أن يعاد تقدير تلك العقارات فور انقضاء العلاقة الإيجارية بإحدى الطرق القانونية</w:t>
      </w:r>
      <w:r w:rsidRPr="005730DD">
        <w:t xml:space="preserve"> .</w:t>
      </w:r>
    </w:p>
    <w:p w14:paraId="7AFF198E" w14:textId="77777777" w:rsidR="005730DD" w:rsidRPr="005730DD" w:rsidRDefault="005730DD" w:rsidP="005730DD">
      <w:pPr>
        <w:bidi/>
      </w:pPr>
      <w:bookmarkStart w:id="5" w:name="6"/>
      <w:r w:rsidRPr="005730DD">
        <w:rPr>
          <w:rtl/>
        </w:rPr>
        <w:t>الإجراء المتبع عند زوال سبب الإعفاء من الضريبة</w:t>
      </w:r>
      <w:bookmarkEnd w:id="5"/>
    </w:p>
    <w:p w14:paraId="278456CC" w14:textId="77777777" w:rsidR="005730DD" w:rsidRPr="005730DD" w:rsidRDefault="005730DD" w:rsidP="005730DD">
      <w:pPr>
        <w:bidi/>
      </w:pPr>
      <w:r w:rsidRPr="005730DD">
        <w:rPr>
          <w:rtl/>
        </w:rPr>
        <w:t>إذا زالت أسباب الإعفاء من الضريبة وجب على المكلف بأدائها تقديم إقرار للمأمورية الواقع فى دائرتها العقار ،وذلك خلال ستين يوما من تاريخ زوال سبب الإعفاء لإعادة ربط العقار بالضريبة اعتباراً من أول يناير من السنة التالية لتاريخ زوال الإعفاء عنه</w:t>
      </w:r>
      <w:r w:rsidRPr="005730DD">
        <w:t xml:space="preserve"> .</w:t>
      </w:r>
    </w:p>
    <w:p w14:paraId="1B028D7A" w14:textId="77777777" w:rsidR="005730DD" w:rsidRPr="005730DD" w:rsidRDefault="005730DD" w:rsidP="005730DD">
      <w:pPr>
        <w:bidi/>
      </w:pPr>
      <w:bookmarkStart w:id="6" w:name="7"/>
      <w:r w:rsidRPr="005730DD">
        <w:rPr>
          <w:rtl/>
        </w:rPr>
        <w:t xml:space="preserve">سعر الضريبة </w:t>
      </w:r>
      <w:bookmarkEnd w:id="6"/>
    </w:p>
    <w:p w14:paraId="4BFA5218" w14:textId="77777777" w:rsidR="005730DD" w:rsidRPr="005730DD" w:rsidRDefault="005730DD" w:rsidP="005730DD">
      <w:pPr>
        <w:bidi/>
      </w:pPr>
      <w:r w:rsidRPr="005730DD">
        <w:rPr>
          <w:rtl/>
        </w:rPr>
        <w:t>سعر الضريبة موحد 10% من القيمة الإيجارية السنوية بعد خصم 30% مصاريف للسكنى ، 32% لغير السكنى مقابل جميع المصروفات التى يتكبدها المكلف بأداء الضريبة بما فيها مصاريف الصيانة</w:t>
      </w:r>
      <w:r w:rsidRPr="005730DD">
        <w:t xml:space="preserve"> .</w:t>
      </w:r>
    </w:p>
    <w:p w14:paraId="5D2C3537" w14:textId="77777777" w:rsidR="005730DD" w:rsidRPr="005730DD" w:rsidRDefault="005730DD" w:rsidP="005730DD">
      <w:pPr>
        <w:bidi/>
      </w:pPr>
      <w:bookmarkStart w:id="7" w:name="8"/>
      <w:r w:rsidRPr="005730DD">
        <w:rPr>
          <w:rtl/>
        </w:rPr>
        <w:t>إجراءات إعفاء المسكن الخاص</w:t>
      </w:r>
      <w:bookmarkEnd w:id="7"/>
    </w:p>
    <w:p w14:paraId="0402584D" w14:textId="77777777" w:rsidR="005730DD" w:rsidRPr="005730DD" w:rsidRDefault="005730DD" w:rsidP="005730DD">
      <w:pPr>
        <w:bidi/>
      </w:pPr>
      <w:r w:rsidRPr="005730DD">
        <w:rPr>
          <w:rtl/>
        </w:rPr>
        <w:lastRenderedPageBreak/>
        <w:t>تعفى الوحدة العقارية التى يتخذها المكلف سكنا رئيسيا له ولأسرته والتى تقل صافى قيمتها الإيجارية السنوية عن ( 24000 جنيه ) ، بعد تقديمه طلب على نموذج 6 وبيان الثروة العقارية على نموذج 6 مكرر يتضمن بيان بكافة الوحدات التى يتملكها المكلف أو ينتفع بها على مستوى الجمهورية</w:t>
      </w:r>
      <w:r w:rsidRPr="005730DD">
        <w:t xml:space="preserve"> .</w:t>
      </w:r>
    </w:p>
    <w:p w14:paraId="690222DD" w14:textId="77777777" w:rsidR="005730DD" w:rsidRPr="005730DD" w:rsidRDefault="005730DD" w:rsidP="005730DD">
      <w:pPr>
        <w:bidi/>
      </w:pPr>
      <w:bookmarkStart w:id="8" w:name="9"/>
      <w:r w:rsidRPr="005730DD">
        <w:rPr>
          <w:rtl/>
        </w:rPr>
        <w:t>حد الإعفاء المقرر للوحدات غير السكنية</w:t>
      </w:r>
      <w:bookmarkEnd w:id="8"/>
    </w:p>
    <w:p w14:paraId="12006E86" w14:textId="77777777" w:rsidR="005730DD" w:rsidRPr="005730DD" w:rsidRDefault="005730DD" w:rsidP="005730DD">
      <w:pPr>
        <w:bidi/>
      </w:pPr>
      <w:r w:rsidRPr="005730DD">
        <w:rPr>
          <w:rtl/>
        </w:rPr>
        <w:t>تعفى كل وحدة فى عقار مستعملة فى أغراض تجارية أو صناعية أو إدارية أو مهنية يقل صافى قيمتها الإيجارية السنوية عن (1200 جنيه )</w:t>
      </w:r>
      <w:r w:rsidRPr="005730DD">
        <w:t xml:space="preserve"> .</w:t>
      </w:r>
    </w:p>
    <w:p w14:paraId="359CD649" w14:textId="77777777" w:rsidR="005730DD" w:rsidRPr="005730DD" w:rsidRDefault="005730DD" w:rsidP="005730DD">
      <w:pPr>
        <w:bidi/>
      </w:pPr>
      <w:bookmarkStart w:id="9" w:name="10"/>
      <w:r w:rsidRPr="005730DD">
        <w:rPr>
          <w:rtl/>
        </w:rPr>
        <w:t>حالات رفع الضريبة</w:t>
      </w:r>
      <w:bookmarkEnd w:id="9"/>
    </w:p>
    <w:p w14:paraId="5CD56C8F" w14:textId="77777777" w:rsidR="005730DD" w:rsidRPr="005730DD" w:rsidRDefault="005730DD" w:rsidP="005730DD">
      <w:pPr>
        <w:bidi/>
      </w:pPr>
      <w:r w:rsidRPr="005730DD">
        <w:rPr>
          <w:rtl/>
        </w:rPr>
        <w:t>ترفع الضريبة فى الحالات الآتية</w:t>
      </w:r>
      <w:r w:rsidRPr="005730DD">
        <w:t xml:space="preserve"> :</w:t>
      </w:r>
      <w:r w:rsidRPr="005730DD">
        <w:br/>
        <w:t xml:space="preserve">1- </w:t>
      </w:r>
      <w:r w:rsidRPr="005730DD">
        <w:rPr>
          <w:rtl/>
        </w:rPr>
        <w:t>حالة إذا ما أصبح العقار معفياً وفقاً للمادة (18) من القانون</w:t>
      </w:r>
      <w:r w:rsidRPr="005730DD">
        <w:t>.</w:t>
      </w:r>
      <w:r w:rsidRPr="005730DD">
        <w:br/>
        <w:t xml:space="preserve">2- </w:t>
      </w:r>
      <w:r w:rsidRPr="005730DD">
        <w:rPr>
          <w:rtl/>
        </w:rPr>
        <w:t>حالة تهدم أو تخرب العقار كلياً أو جزئياً إلى درجة تحول دون الانتفاع بالعقار كله أو جزء منه</w:t>
      </w:r>
      <w:r w:rsidRPr="005730DD">
        <w:t>.</w:t>
      </w:r>
      <w:r w:rsidRPr="005730DD">
        <w:br/>
        <w:t xml:space="preserve">3- </w:t>
      </w:r>
      <w:r w:rsidRPr="005730DD">
        <w:rPr>
          <w:rtl/>
        </w:rPr>
        <w:t>إذا أصبحت الأرض المستقلة عن العقارات المبنية غير مستغلة</w:t>
      </w:r>
      <w:r w:rsidRPr="005730DD">
        <w:t>.</w:t>
      </w:r>
    </w:p>
    <w:p w14:paraId="02B29314" w14:textId="77777777" w:rsidR="005730DD" w:rsidRPr="005730DD" w:rsidRDefault="005730DD" w:rsidP="005730DD">
      <w:pPr>
        <w:bidi/>
      </w:pPr>
      <w:bookmarkStart w:id="10" w:name="11"/>
      <w:r w:rsidRPr="005730DD">
        <w:rPr>
          <w:rtl/>
        </w:rPr>
        <w:t xml:space="preserve">إجراءات رفع الضريبة </w:t>
      </w:r>
      <w:bookmarkEnd w:id="10"/>
    </w:p>
    <w:p w14:paraId="17C113AD" w14:textId="77777777" w:rsidR="005730DD" w:rsidRPr="005730DD" w:rsidRDefault="005730DD" w:rsidP="005730DD">
      <w:pPr>
        <w:bidi/>
      </w:pPr>
      <w:r w:rsidRPr="005730DD">
        <w:rPr>
          <w:rtl/>
        </w:rPr>
        <w:t>إذا رأى المكلف توافر أحد حالات الرفع فى حقه فله أن يتقدم بطلب لجهة ربط وتحصيل الضريبة مع سداد تأمين قدره خمسون جنيهاً( لجدية طلبه ) مع تقديم ما يدل على أداء أخر قسط مستحق من الضريبة قبل بحث الحالة محل الطلب</w:t>
      </w:r>
      <w:r w:rsidRPr="005730DD">
        <w:t xml:space="preserve"> . </w:t>
      </w:r>
      <w:r w:rsidRPr="005730DD">
        <w:rPr>
          <w:rtl/>
        </w:rPr>
        <w:t>ويرد التأمين إذا ما قبل طلبه وتنظر لجان الحصر والتقدير هذا الطلب وتقرر رفع الضريبة كلياً أو جزئياً إذا ما توافرت شروط إحدى حالات الرفع</w:t>
      </w:r>
      <w:r w:rsidRPr="005730DD">
        <w:t xml:space="preserve"> .</w:t>
      </w:r>
    </w:p>
    <w:p w14:paraId="651C8A2C" w14:textId="77777777" w:rsidR="005730DD" w:rsidRPr="005730DD" w:rsidRDefault="005730DD" w:rsidP="005730DD">
      <w:pPr>
        <w:bidi/>
      </w:pPr>
      <w:bookmarkStart w:id="11" w:name="12"/>
      <w:r w:rsidRPr="005730DD">
        <w:rPr>
          <w:rtl/>
        </w:rPr>
        <w:t>الإجراء المتبع فى حالة زوال سبب الرفع</w:t>
      </w:r>
      <w:bookmarkEnd w:id="11"/>
    </w:p>
    <w:p w14:paraId="12ED9EEA" w14:textId="77777777" w:rsidR="005730DD" w:rsidRPr="005730DD" w:rsidRDefault="005730DD" w:rsidP="005730DD">
      <w:pPr>
        <w:bidi/>
      </w:pPr>
      <w:r w:rsidRPr="005730DD">
        <w:rPr>
          <w:rtl/>
        </w:rPr>
        <w:t>إذا زالت عن أى عقار أسباب الرفع وجب على المكلف إخطار المأمورية بذلك خلال ستين يوماً من تاريخ زوال سبب الرفع لإعادة ربط العقار بالضريبة التى كانت مفروضة قبل الرفع اعتبارا من أول السنة التالية لزوال سبب الرفع وإلا اعتبر متهرباً من أداء الضريبة وتطبق عليه عقوبة التهرب المنصوص عليها فى القانون</w:t>
      </w:r>
      <w:r w:rsidRPr="005730DD">
        <w:t xml:space="preserve"> .</w:t>
      </w:r>
    </w:p>
    <w:p w14:paraId="40F6442F" w14:textId="77777777" w:rsidR="005730DD" w:rsidRPr="005730DD" w:rsidRDefault="005730DD" w:rsidP="005730DD">
      <w:pPr>
        <w:bidi/>
      </w:pPr>
      <w:bookmarkStart w:id="12" w:name="13"/>
      <w:r w:rsidRPr="005730DD">
        <w:rPr>
          <w:rtl/>
        </w:rPr>
        <w:t>موعد تقديم الإقرارات الضريبية</w:t>
      </w:r>
      <w:bookmarkEnd w:id="12"/>
    </w:p>
    <w:p w14:paraId="42A29C5C" w14:textId="77777777" w:rsidR="005730DD" w:rsidRPr="005730DD" w:rsidRDefault="005730DD" w:rsidP="005730DD">
      <w:pPr>
        <w:bidi/>
      </w:pPr>
      <w:r w:rsidRPr="005730DD">
        <w:rPr>
          <w:rtl/>
        </w:rPr>
        <w:t>يقدم المكلف إقراره الضريبى فى حالة الحصر الخمسى ( العام ) مرة واحدة كل خمس سنوات ، وذلك فى النصف الثانى من السنة السابقة للحصر عن كل من العقارات التى يملكها أو ينتفع بها</w:t>
      </w:r>
      <w:r w:rsidRPr="005730DD">
        <w:t xml:space="preserve"> .</w:t>
      </w:r>
      <w:r w:rsidRPr="005730DD">
        <w:br/>
      </w:r>
      <w:r w:rsidRPr="005730DD">
        <w:rPr>
          <w:rtl/>
        </w:rPr>
        <w:t>أما إذا كان المكلف عقاره مستجداً أو أضيفت وحدات على عقاره أو أحدث فى عقاره تعديلات أثرت على القيمة الإيجارية أو استغل أرضاً كانت فضاء ، فيجب عليه تقديم إقرار فى موعد أقصاه نهاية شهر ديسمبر من السنة التى حدثت أو طرأت فيها أو عليها تلك المستجدات</w:t>
      </w:r>
      <w:r w:rsidRPr="005730DD">
        <w:t xml:space="preserve"> .</w:t>
      </w:r>
      <w:r w:rsidRPr="005730DD">
        <w:br/>
      </w:r>
      <w:r w:rsidRPr="005730DD">
        <w:rPr>
          <w:rtl/>
        </w:rPr>
        <w:t>ويجوز مد فترة تقديم الإقرارات الضريبية المنوه عنها أعلاه بقرار من الوزير بما لا يجاوز ثلاثة أشهر</w:t>
      </w:r>
      <w:r w:rsidRPr="005730DD">
        <w:t>.</w:t>
      </w:r>
    </w:p>
    <w:p w14:paraId="735554BA" w14:textId="77777777" w:rsidR="005730DD" w:rsidRPr="005730DD" w:rsidRDefault="005730DD" w:rsidP="005730DD">
      <w:pPr>
        <w:bidi/>
      </w:pPr>
      <w:bookmarkStart w:id="13" w:name="14"/>
      <w:r w:rsidRPr="005730DD">
        <w:rPr>
          <w:rtl/>
        </w:rPr>
        <w:t xml:space="preserve">الجهة التى ستتولى تقدير القيمة الإيجارية للعقارات </w:t>
      </w:r>
      <w:bookmarkEnd w:id="13"/>
    </w:p>
    <w:p w14:paraId="2BA06593" w14:textId="77777777" w:rsidR="005730DD" w:rsidRPr="005730DD" w:rsidRDefault="005730DD" w:rsidP="005730DD">
      <w:pPr>
        <w:bidi/>
      </w:pPr>
      <w:r w:rsidRPr="005730DD">
        <w:rPr>
          <w:rtl/>
        </w:rPr>
        <w:t>تتولى تقدير القيمة الإيجارية لجان تسمى (لجان الحصر والتقدير ) تشكل برئاسة مندوب عن مصلحة الضرائب العقارية ، وعضوية مندوب عن المحافظة الواقع بها العقار ، واحد من المكلفين بأداء الضريبة فى نطاق اختصاص اللجنة يختارهما المحافظ المختص</w:t>
      </w:r>
      <w:r w:rsidRPr="005730DD">
        <w:t xml:space="preserve"> .</w:t>
      </w:r>
    </w:p>
    <w:p w14:paraId="43657193" w14:textId="3A4FC962" w:rsidR="005730DD" w:rsidRPr="005730DD" w:rsidRDefault="005730DD" w:rsidP="005730DD">
      <w:pPr>
        <w:bidi/>
      </w:pPr>
      <w:r w:rsidRPr="005730DD">
        <w:lastRenderedPageBreak/>
        <w:drawing>
          <wp:inline distT="0" distB="0" distL="0" distR="0" wp14:anchorId="4C38597D" wp14:editId="0A96127C">
            <wp:extent cx="3810000" cy="2857500"/>
            <wp:effectExtent l="0" t="0" r="0" b="0"/>
            <wp:docPr id="606006023" name="صورة 3" descr="Real Estate T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al Estate Tax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14:paraId="25C2DE95" w14:textId="77777777" w:rsidR="005730DD" w:rsidRPr="005730DD" w:rsidRDefault="005730DD" w:rsidP="005730DD">
      <w:pPr>
        <w:bidi/>
      </w:pPr>
      <w:bookmarkStart w:id="14" w:name="15"/>
      <w:r w:rsidRPr="005730DD">
        <w:rPr>
          <w:rtl/>
        </w:rPr>
        <w:t>أسس تقدير القيمة الإيجارية المتخذة أساسا لحساب الضريبة العقارية</w:t>
      </w:r>
      <w:bookmarkEnd w:id="14"/>
    </w:p>
    <w:p w14:paraId="3FE1CD3A" w14:textId="77777777" w:rsidR="005730DD" w:rsidRPr="005730DD" w:rsidRDefault="005730DD" w:rsidP="005730DD">
      <w:pPr>
        <w:bidi/>
      </w:pPr>
      <w:r w:rsidRPr="005730DD">
        <w:rPr>
          <w:rtl/>
        </w:rPr>
        <w:t>أسس وقواعد التقدير</w:t>
      </w:r>
      <w:r w:rsidRPr="005730DD">
        <w:t>:</w:t>
      </w:r>
      <w:r w:rsidRPr="005730DD">
        <w:br/>
      </w:r>
      <w:r w:rsidRPr="005730DD">
        <w:rPr>
          <w:rtl/>
        </w:rPr>
        <w:t>أ - الموقع الجغرافى ، ويشمل</w:t>
      </w:r>
      <w:r w:rsidRPr="005730DD">
        <w:t xml:space="preserve"> :</w:t>
      </w:r>
    </w:p>
    <w:p w14:paraId="548AEE67" w14:textId="77777777" w:rsidR="005730DD" w:rsidRPr="005730DD" w:rsidRDefault="005730DD" w:rsidP="005730DD">
      <w:pPr>
        <w:bidi/>
      </w:pPr>
      <w:r w:rsidRPr="005730DD">
        <w:t xml:space="preserve">1 - </w:t>
      </w:r>
      <w:r w:rsidRPr="005730DD">
        <w:rPr>
          <w:rtl/>
        </w:rPr>
        <w:t>طبيعة المنطقة الكائن بها العقارات المبنية</w:t>
      </w:r>
      <w:r w:rsidRPr="005730DD">
        <w:t xml:space="preserve"> .</w:t>
      </w:r>
      <w:r w:rsidRPr="005730DD">
        <w:br/>
        <w:t xml:space="preserve">2 - </w:t>
      </w:r>
      <w:r w:rsidRPr="005730DD">
        <w:rPr>
          <w:rtl/>
        </w:rPr>
        <w:t>الشارع الكائن به العقارات المبنية</w:t>
      </w:r>
      <w:r w:rsidRPr="005730DD">
        <w:t xml:space="preserve"> .</w:t>
      </w:r>
      <w:r w:rsidRPr="005730DD">
        <w:br/>
        <w:t xml:space="preserve">3 - </w:t>
      </w:r>
      <w:r w:rsidRPr="005730DD">
        <w:rPr>
          <w:rtl/>
        </w:rPr>
        <w:t>مدى قرب العقارات المبنية من الشواطئ أو الحدائق أو المتنزهات العامة</w:t>
      </w:r>
      <w:r w:rsidRPr="005730DD">
        <w:t>.</w:t>
      </w:r>
    </w:p>
    <w:p w14:paraId="70E8D86E" w14:textId="77777777" w:rsidR="005730DD" w:rsidRPr="005730DD" w:rsidRDefault="005730DD" w:rsidP="005730DD">
      <w:pPr>
        <w:bidi/>
      </w:pPr>
      <w:r w:rsidRPr="005730DD">
        <w:rPr>
          <w:rtl/>
        </w:rPr>
        <w:t>ب - مستوى البناء ( فاخر/فوق المتوسط/متوسط / إقتصادى / شعبى ) ونوعية مادة البناء ( خرسانة مسلحة / طوب مصنع / حجر / طوب لبن / خشب / صاج / أية مواد آخرى</w:t>
      </w:r>
      <w:r w:rsidRPr="005730DD">
        <w:t xml:space="preserve"> ) .</w:t>
      </w:r>
      <w:r w:rsidRPr="005730DD">
        <w:br/>
      </w:r>
      <w:r w:rsidRPr="005730DD">
        <w:rPr>
          <w:rtl/>
        </w:rPr>
        <w:t>جـ - المرافق المتصلة بالعقارات المبنية ، وتشمل</w:t>
      </w:r>
      <w:r w:rsidRPr="005730DD">
        <w:t xml:space="preserve"> :</w:t>
      </w:r>
    </w:p>
    <w:p w14:paraId="2FC3ED32" w14:textId="77777777" w:rsidR="005730DD" w:rsidRPr="005730DD" w:rsidRDefault="005730DD" w:rsidP="005730DD">
      <w:pPr>
        <w:bidi/>
      </w:pPr>
      <w:r w:rsidRPr="005730DD">
        <w:t xml:space="preserve">1 - </w:t>
      </w:r>
      <w:r w:rsidRPr="005730DD">
        <w:rPr>
          <w:rtl/>
        </w:rPr>
        <w:t>الكهرباء والمياه والصرف الصحى</w:t>
      </w:r>
      <w:r w:rsidRPr="005730DD">
        <w:t xml:space="preserve"> .</w:t>
      </w:r>
      <w:r w:rsidRPr="005730DD">
        <w:br/>
        <w:t xml:space="preserve">2 - </w:t>
      </w:r>
      <w:r w:rsidRPr="005730DD">
        <w:rPr>
          <w:rtl/>
        </w:rPr>
        <w:t>الخدمات الصحية والاجتماعية والتعليمية المتاحة</w:t>
      </w:r>
      <w:r w:rsidRPr="005730DD">
        <w:t>.</w:t>
      </w:r>
      <w:r w:rsidRPr="005730DD">
        <w:br/>
        <w:t xml:space="preserve">3 - </w:t>
      </w:r>
      <w:r w:rsidRPr="005730DD">
        <w:rPr>
          <w:rtl/>
        </w:rPr>
        <w:t>تليفونات</w:t>
      </w:r>
      <w:r w:rsidRPr="005730DD">
        <w:t xml:space="preserve"> .</w:t>
      </w:r>
      <w:r w:rsidRPr="005730DD">
        <w:br/>
        <w:t xml:space="preserve">4 - </w:t>
      </w:r>
      <w:r w:rsidRPr="005730DD">
        <w:rPr>
          <w:rtl/>
        </w:rPr>
        <w:t>شبكة الطرق ووسائل المواصلات المتاحة</w:t>
      </w:r>
      <w:r w:rsidRPr="005730DD">
        <w:t xml:space="preserve"> .</w:t>
      </w:r>
      <w:r w:rsidRPr="005730DD">
        <w:br/>
        <w:t xml:space="preserve">5 - </w:t>
      </w:r>
      <w:r w:rsidRPr="005730DD">
        <w:rPr>
          <w:rtl/>
        </w:rPr>
        <w:t>أية مرافق عامة آخرى</w:t>
      </w:r>
      <w:r w:rsidRPr="005730DD">
        <w:t xml:space="preserve"> .</w:t>
      </w:r>
    </w:p>
    <w:p w14:paraId="0A6F6D1C" w14:textId="77777777" w:rsidR="005730DD" w:rsidRPr="005730DD" w:rsidRDefault="005730DD" w:rsidP="005730DD">
      <w:pPr>
        <w:bidi/>
      </w:pPr>
      <w:bookmarkStart w:id="15" w:name="16"/>
      <w:r w:rsidRPr="005730DD">
        <w:rPr>
          <w:rtl/>
        </w:rPr>
        <w:t xml:space="preserve">وسائل التعرف على القيمة المقدرة على الوحدة </w:t>
      </w:r>
      <w:bookmarkEnd w:id="15"/>
    </w:p>
    <w:p w14:paraId="6FB98BC2" w14:textId="77777777" w:rsidR="005730DD" w:rsidRPr="005730DD" w:rsidRDefault="005730DD" w:rsidP="005730DD">
      <w:pPr>
        <w:bidi/>
      </w:pPr>
      <w:r w:rsidRPr="005730DD">
        <w:rPr>
          <w:rtl/>
        </w:rPr>
        <w:t>يتم النشر عن تقديرات القيمة الإيجارية للعقارات فى الوقائع المصرية ، كما يتم الإعلان عنها بالأماكن العامة وعلى مقار المأموريات الواقع فى دائرتها هذه العقارات ، فضلاً عن ذلك فإنه سيتم إخطار كل مكلف بتقدير القيمة الإيجارية المقدرة على وحدته / أو وحداته على النموذج المعد لهذا الغرض (نموذج 3) بخطاب مسجل موصى عليه بعلم الوصول أو من خلال تسليمه عن طريق موظفى الجهة الضريبية</w:t>
      </w:r>
      <w:r w:rsidRPr="005730DD">
        <w:t xml:space="preserve"> .</w:t>
      </w:r>
    </w:p>
    <w:p w14:paraId="3C338158" w14:textId="77777777" w:rsidR="005730DD" w:rsidRPr="005730DD" w:rsidRDefault="005730DD" w:rsidP="005730DD">
      <w:pPr>
        <w:bidi/>
      </w:pPr>
      <w:r w:rsidRPr="005730DD">
        <w:t> </w:t>
      </w:r>
    </w:p>
    <w:p w14:paraId="1EF5EE27" w14:textId="77777777" w:rsidR="005730DD" w:rsidRPr="005730DD" w:rsidRDefault="005730DD" w:rsidP="005730DD">
      <w:pPr>
        <w:bidi/>
      </w:pPr>
      <w:bookmarkStart w:id="16" w:name="17"/>
      <w:r w:rsidRPr="005730DD">
        <w:rPr>
          <w:rtl/>
        </w:rPr>
        <w:t xml:space="preserve">عدم مضاعفة القيمة الإيجارية عند إعادة التقدير ( العام ) </w:t>
      </w:r>
      <w:bookmarkEnd w:id="16"/>
    </w:p>
    <w:p w14:paraId="5BBE1832" w14:textId="77777777" w:rsidR="005730DD" w:rsidRPr="005730DD" w:rsidRDefault="005730DD" w:rsidP="005730DD">
      <w:pPr>
        <w:bidi/>
      </w:pPr>
      <w:r w:rsidRPr="005730DD">
        <w:rPr>
          <w:rtl/>
        </w:rPr>
        <w:lastRenderedPageBreak/>
        <w:t>يضمن القانون - عند إعادة التقدير الخمسى - عدم زيادة القيمة الإيجارية للعقارات المبنية المستعملة فى أغراض السكن على 30% من التقدير الخمسى السابق ، وعلى 45% من التقدير الخمسى السابق بالنسبة للعقارات المبنية المستعملة فى غير أغراض السكن</w:t>
      </w:r>
      <w:r w:rsidRPr="005730DD">
        <w:t>.</w:t>
      </w:r>
    </w:p>
    <w:p w14:paraId="26B321B0" w14:textId="77777777" w:rsidR="005730DD" w:rsidRPr="005730DD" w:rsidRDefault="005730DD" w:rsidP="005730DD">
      <w:pPr>
        <w:bidi/>
      </w:pPr>
      <w:bookmarkStart w:id="17" w:name="18"/>
      <w:r w:rsidRPr="005730DD">
        <w:rPr>
          <w:rtl/>
        </w:rPr>
        <w:t xml:space="preserve">إجراءات الطعن على تقديرات القيمة الإيجارية </w:t>
      </w:r>
      <w:bookmarkEnd w:id="17"/>
    </w:p>
    <w:p w14:paraId="41202984" w14:textId="77777777" w:rsidR="005730DD" w:rsidRPr="005730DD" w:rsidRDefault="005730DD" w:rsidP="005730DD">
      <w:pPr>
        <w:bidi/>
      </w:pPr>
      <w:r w:rsidRPr="005730DD">
        <w:rPr>
          <w:rtl/>
        </w:rPr>
        <w:t>للمكلف بأداء الضريبة الحق فى الطعن على تقدير القيمة الإيجارية للعقار أو جزء منه خلال الستين يوماً التالية لتاريخ الإخطار، وذلك بطلب يسلم لمديرية الضرائب العقارية الواقع فى دائرتها العقار أو إحدى المأموريات التابعة لها مقابل إيصال أو بكتاب موصى عليه بعلم الوصول يرسل إلى المديرية على أن يؤدى الطاعن مبلغاً مقداره خمسون جنيها كتأمين لنظر طعنه ، يرد إليه عند قبول الطعن موضوعاً</w:t>
      </w:r>
      <w:r w:rsidRPr="005730DD">
        <w:t>.</w:t>
      </w:r>
    </w:p>
    <w:p w14:paraId="09E578DC" w14:textId="77777777" w:rsidR="005730DD" w:rsidRPr="005730DD" w:rsidRDefault="005730DD" w:rsidP="005730DD">
      <w:pPr>
        <w:bidi/>
      </w:pPr>
      <w:bookmarkStart w:id="18" w:name="19"/>
      <w:r w:rsidRPr="005730DD">
        <w:rPr>
          <w:rtl/>
        </w:rPr>
        <w:t xml:space="preserve">حيادية لجان الطعن </w:t>
      </w:r>
      <w:bookmarkEnd w:id="18"/>
    </w:p>
    <w:p w14:paraId="435A4379" w14:textId="77777777" w:rsidR="005730DD" w:rsidRPr="005730DD" w:rsidRDefault="005730DD" w:rsidP="005730DD">
      <w:pPr>
        <w:bidi/>
      </w:pPr>
      <w:r w:rsidRPr="005730DD">
        <w:rPr>
          <w:rtl/>
        </w:rPr>
        <w:t>يكون تشكيلها برئاسة أحد ذوى الخبرة من غير العاملين الحاليين أو السابقين بالمصلحة ، وعضوية أحد العاملين بجهة ربط وتحصيل الضريبة ، ومهندس استشارى فى المجال الإنشائى أو أحد خبراء التقييم العقارى ، ترشحهما نقابة المهندسين أو الهيئة العامة للرقابة المالية أو البنك المركزى من بين المقيدين فى سجلات النقابة أو الهيئة أو البنك ، بحسب الأحوال على أن يكون المرشح منها فى عضوية اللجنة من بين المكلفين فى نطاق اختصاص اللجنة</w:t>
      </w:r>
      <w:r w:rsidRPr="005730DD">
        <w:t xml:space="preserve"> .</w:t>
      </w:r>
      <w:r w:rsidRPr="005730DD">
        <w:br/>
      </w:r>
      <w:r w:rsidRPr="005730DD">
        <w:rPr>
          <w:rtl/>
        </w:rPr>
        <w:t>وفى حالة نظر الطعون المقدمة من المنشآت المنصوص عليها فى الفقرة الأخيرة من المادة (13) فيكون اختيار ممثل المكلفين فى عضويتها بناءً على ترشيح اتحاد الصناعات أو اتحاد الغرف المختص أو بناءً على ترشيح الوزير المختص بالنسبة للنشاط الذى لا يضم الجهات القائمة به اتحاد ، ويجب أن يكون المرشح من بين ذوى الخبرة فى مجال النشاط</w:t>
      </w:r>
      <w:r w:rsidRPr="005730DD">
        <w:t xml:space="preserve"> .</w:t>
      </w:r>
    </w:p>
    <w:p w14:paraId="78DB5198" w14:textId="77777777" w:rsidR="005730DD" w:rsidRPr="005730DD" w:rsidRDefault="005730DD" w:rsidP="005730DD">
      <w:pPr>
        <w:bidi/>
      </w:pPr>
      <w:bookmarkStart w:id="19" w:name="20"/>
      <w:r w:rsidRPr="005730DD">
        <w:rPr>
          <w:rtl/>
        </w:rPr>
        <w:t>موعد سداد الضريبة</w:t>
      </w:r>
      <w:bookmarkEnd w:id="19"/>
    </w:p>
    <w:p w14:paraId="10D62FDB" w14:textId="77777777" w:rsidR="005730DD" w:rsidRPr="005730DD" w:rsidRDefault="005730DD" w:rsidP="005730DD">
      <w:pPr>
        <w:bidi/>
      </w:pPr>
      <w:r w:rsidRPr="005730DD">
        <w:rPr>
          <w:rtl/>
        </w:rPr>
        <w:t>تستحق الضريبة العقارية فى الأول من يناير من كل عام ، وتحصل على قسطين متساويين الأول حتى نهاية شهر يونيه والثانى حتى نهاية شهر ديسمبر من ذات السنة ، ويجوز للمكلف سدادها بالكامل فى ميعاد سداد القسط الأول</w:t>
      </w:r>
      <w:r w:rsidRPr="005730DD">
        <w:t>.</w:t>
      </w:r>
    </w:p>
    <w:p w14:paraId="03F68CF3" w14:textId="77777777" w:rsidR="005730DD" w:rsidRPr="005730DD" w:rsidRDefault="005730DD" w:rsidP="005730DD">
      <w:pPr>
        <w:bidi/>
      </w:pPr>
      <w:bookmarkStart w:id="20" w:name="21"/>
      <w:r w:rsidRPr="005730DD">
        <w:rPr>
          <w:rtl/>
        </w:rPr>
        <w:t>توزيع عائد الضريبة العقارية</w:t>
      </w:r>
      <w:bookmarkEnd w:id="20"/>
    </w:p>
    <w:p w14:paraId="2489F615" w14:textId="77777777" w:rsidR="005730DD" w:rsidRPr="005730DD" w:rsidRDefault="005730DD" w:rsidP="005730DD">
      <w:pPr>
        <w:bidi/>
      </w:pPr>
      <w:r w:rsidRPr="005730DD">
        <w:rPr>
          <w:rtl/>
        </w:rPr>
        <w:t>سيتم توجيه 25% من حصيلة الضريبة العقارية للمحافظات للصرف منها على التعليم والصحة، ويخصص نسبة 25% من كامل الحصيلة لأغرض تطوير وتنمية المناطق العشوائية</w:t>
      </w:r>
      <w:r w:rsidRPr="005730DD">
        <w:t>.</w:t>
      </w:r>
    </w:p>
    <w:p w14:paraId="5BB2591F" w14:textId="77777777" w:rsidR="005730DD" w:rsidRPr="005730DD" w:rsidRDefault="005730DD" w:rsidP="005730DD">
      <w:pPr>
        <w:bidi/>
      </w:pPr>
      <w:bookmarkStart w:id="21" w:name="22"/>
      <w:r w:rsidRPr="005730DD">
        <w:rPr>
          <w:rtl/>
        </w:rPr>
        <w:t xml:space="preserve">الإجراءات الواجب إتباعها حال عدم القدرة على الوفاء بدفع الضريبة </w:t>
      </w:r>
      <w:bookmarkEnd w:id="21"/>
    </w:p>
    <w:p w14:paraId="6411DDC4" w14:textId="77777777" w:rsidR="005730DD" w:rsidRPr="005730DD" w:rsidRDefault="005730DD" w:rsidP="005730DD">
      <w:pPr>
        <w:bidi/>
      </w:pPr>
      <w:r w:rsidRPr="005730DD">
        <w:rPr>
          <w:rtl/>
        </w:rPr>
        <w:t>يتقدم المكلفون بأداء الضريبة العقارية أو ورثتهم الذين طرأت عليهم تغيرات اجتماعية من شأنها عدم القدرة على الوفاء بدفع الضريبة بطلب إلى مديرية الضرائب العقارية الواقع فى دائرتها العقار يطلبون فيه تحمل الخزانة العامة بالضريبة المستحقة عليهم ،و يجب أن يتضمن الطلب بيانا وافيا للتغيرات الاجتماعية المشار إليها ،وان ترفق به المستندات الرسمية المؤيدة له ويتم البت فى هذا الطلب بمعرفة اللجنة المشكلة لهذا الغرض</w:t>
      </w:r>
      <w:r w:rsidRPr="005730DD">
        <w:t xml:space="preserve"> .</w:t>
      </w:r>
    </w:p>
    <w:p w14:paraId="1C758A70" w14:textId="77777777" w:rsidR="005730DD" w:rsidRPr="005730DD" w:rsidRDefault="005730DD" w:rsidP="005730DD">
      <w:pPr>
        <w:bidi/>
      </w:pPr>
      <w:bookmarkStart w:id="22" w:name="23"/>
      <w:r w:rsidRPr="005730DD">
        <w:rPr>
          <w:rtl/>
        </w:rPr>
        <w:t>مدى فرض مقابل تأخير على ما لم يتم أداؤه من الضريبة إذا كان التأخير يرجع إلى الجهة الضريبية</w:t>
      </w:r>
      <w:bookmarkEnd w:id="22"/>
    </w:p>
    <w:p w14:paraId="644CA32E" w14:textId="77777777" w:rsidR="005730DD" w:rsidRPr="005730DD" w:rsidRDefault="005730DD" w:rsidP="005730DD">
      <w:pPr>
        <w:bidi/>
      </w:pPr>
      <w:r w:rsidRPr="005730DD">
        <w:rPr>
          <w:rtl/>
        </w:rPr>
        <w:t>إن مناط فرض مقابل التأخير المقرر بالمادة 27 من القانون هو تأخر المكلف بأداء الضريبة عن أدائها فى المواعيد القانونية , ومن ثم فانه إذا كان التأخير يرجع إلى الجهة الضريبية فينتفي فرض هذا المقابل</w:t>
      </w:r>
      <w:r w:rsidRPr="005730DD">
        <w:t xml:space="preserve"> .</w:t>
      </w:r>
    </w:p>
    <w:p w14:paraId="6B1D1A43" w14:textId="77777777" w:rsidR="005730DD" w:rsidRPr="005730DD" w:rsidRDefault="005730DD" w:rsidP="005730DD">
      <w:pPr>
        <w:bidi/>
      </w:pPr>
      <w:bookmarkStart w:id="23" w:name="24"/>
      <w:r w:rsidRPr="005730DD">
        <w:rPr>
          <w:rtl/>
        </w:rPr>
        <w:t>جداول توضيحيه</w:t>
      </w:r>
      <w:bookmarkEnd w:id="23"/>
    </w:p>
    <w:p w14:paraId="56857486" w14:textId="77777777" w:rsidR="005730DD" w:rsidRPr="005730DD" w:rsidRDefault="005730DD" w:rsidP="005730DD">
      <w:pPr>
        <w:bidi/>
      </w:pPr>
      <w:r w:rsidRPr="005730DD">
        <w:t> </w:t>
      </w:r>
    </w:p>
    <w:p w14:paraId="58D42001" w14:textId="77777777" w:rsidR="005730DD" w:rsidRPr="005730DD" w:rsidRDefault="005730DD" w:rsidP="005730DD">
      <w:pPr>
        <w:bidi/>
      </w:pPr>
      <w:r w:rsidRPr="005730DD">
        <w:rPr>
          <w:rtl/>
        </w:rPr>
        <w:lastRenderedPageBreak/>
        <w:t>حساب الضريبة على الوحدة السكنية الأولى فى ضوء القرار الجمهورى رقم 117 لسنة 2014 ( بحد إعفاء 24000 جنيه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11"/>
        <w:gridCol w:w="1096"/>
        <w:gridCol w:w="1654"/>
        <w:gridCol w:w="1721"/>
        <w:gridCol w:w="1244"/>
        <w:gridCol w:w="1065"/>
        <w:gridCol w:w="669"/>
      </w:tblGrid>
      <w:tr w:rsidR="005730DD" w:rsidRPr="005730DD" w14:paraId="679935AD" w14:textId="77777777">
        <w:trPr>
          <w:tblCellSpacing w:w="15" w:type="dxa"/>
        </w:trPr>
        <w:tc>
          <w:tcPr>
            <w:tcW w:w="0" w:type="auto"/>
            <w:vAlign w:val="center"/>
            <w:hideMark/>
          </w:tcPr>
          <w:p w14:paraId="5CDCB2B5" w14:textId="77777777" w:rsidR="005730DD" w:rsidRPr="005730DD" w:rsidRDefault="005730DD" w:rsidP="005730DD">
            <w:pPr>
              <w:bidi/>
            </w:pPr>
            <w:r w:rsidRPr="005730DD">
              <w:rPr>
                <w:rtl/>
              </w:rPr>
              <w:t>الضريبة السنوية المستحقة</w:t>
            </w:r>
          </w:p>
        </w:tc>
        <w:tc>
          <w:tcPr>
            <w:tcW w:w="0" w:type="auto"/>
            <w:vAlign w:val="center"/>
            <w:hideMark/>
          </w:tcPr>
          <w:p w14:paraId="19C0BC9F" w14:textId="77777777" w:rsidR="005730DD" w:rsidRPr="005730DD" w:rsidRDefault="005730DD" w:rsidP="005730DD">
            <w:pPr>
              <w:bidi/>
            </w:pPr>
            <w:r w:rsidRPr="005730DD">
              <w:rPr>
                <w:rtl/>
              </w:rPr>
              <w:t>وعاء الضريبة</w:t>
            </w:r>
          </w:p>
        </w:tc>
        <w:tc>
          <w:tcPr>
            <w:tcW w:w="0" w:type="auto"/>
            <w:vAlign w:val="center"/>
            <w:hideMark/>
          </w:tcPr>
          <w:p w14:paraId="1210E4B3" w14:textId="77777777" w:rsidR="005730DD" w:rsidRPr="005730DD" w:rsidRDefault="005730DD" w:rsidP="005730DD">
            <w:pPr>
              <w:bidi/>
            </w:pPr>
            <w:r w:rsidRPr="005730DD">
              <w:rPr>
                <w:rtl/>
              </w:rPr>
              <w:t>صافى القيمة الإيجارية</w:t>
            </w:r>
          </w:p>
        </w:tc>
        <w:tc>
          <w:tcPr>
            <w:tcW w:w="0" w:type="auto"/>
            <w:vAlign w:val="center"/>
            <w:hideMark/>
          </w:tcPr>
          <w:p w14:paraId="2D225EB3" w14:textId="77777777" w:rsidR="005730DD" w:rsidRPr="005730DD" w:rsidRDefault="005730DD" w:rsidP="005730DD">
            <w:pPr>
              <w:bidi/>
            </w:pPr>
            <w:r w:rsidRPr="005730DD">
              <w:rPr>
                <w:rtl/>
              </w:rPr>
              <w:t>القيمة الإيجارية السنوية</w:t>
            </w:r>
          </w:p>
        </w:tc>
        <w:tc>
          <w:tcPr>
            <w:tcW w:w="0" w:type="auto"/>
            <w:vAlign w:val="center"/>
            <w:hideMark/>
          </w:tcPr>
          <w:p w14:paraId="1A97D14C" w14:textId="77777777" w:rsidR="005730DD" w:rsidRPr="005730DD" w:rsidRDefault="005730DD" w:rsidP="005730DD">
            <w:pPr>
              <w:bidi/>
            </w:pPr>
            <w:r w:rsidRPr="005730DD">
              <w:rPr>
                <w:rtl/>
              </w:rPr>
              <w:t>القيمة الرأسمالية</w:t>
            </w:r>
          </w:p>
        </w:tc>
        <w:tc>
          <w:tcPr>
            <w:tcW w:w="0" w:type="auto"/>
            <w:vAlign w:val="center"/>
            <w:hideMark/>
          </w:tcPr>
          <w:p w14:paraId="4D450309" w14:textId="77777777" w:rsidR="005730DD" w:rsidRPr="005730DD" w:rsidRDefault="005730DD" w:rsidP="005730DD">
            <w:pPr>
              <w:bidi/>
            </w:pPr>
            <w:r w:rsidRPr="005730DD">
              <w:rPr>
                <w:rtl/>
              </w:rPr>
              <w:t>القيمة السوقية</w:t>
            </w:r>
          </w:p>
        </w:tc>
        <w:tc>
          <w:tcPr>
            <w:tcW w:w="0" w:type="auto"/>
            <w:vAlign w:val="center"/>
            <w:hideMark/>
          </w:tcPr>
          <w:p w14:paraId="6B925379" w14:textId="77777777" w:rsidR="005730DD" w:rsidRPr="005730DD" w:rsidRDefault="005730DD" w:rsidP="005730DD">
            <w:pPr>
              <w:bidi/>
            </w:pPr>
            <w:r w:rsidRPr="005730DD">
              <w:rPr>
                <w:rtl/>
              </w:rPr>
              <w:t>الوحدة</w:t>
            </w:r>
          </w:p>
        </w:tc>
      </w:tr>
      <w:tr w:rsidR="005730DD" w:rsidRPr="005730DD" w14:paraId="7588CEEA" w14:textId="77777777">
        <w:trPr>
          <w:tblCellSpacing w:w="15" w:type="dxa"/>
        </w:trPr>
        <w:tc>
          <w:tcPr>
            <w:tcW w:w="0" w:type="auto"/>
            <w:vAlign w:val="center"/>
            <w:hideMark/>
          </w:tcPr>
          <w:p w14:paraId="7BAD1D43" w14:textId="77777777" w:rsidR="005730DD" w:rsidRPr="005730DD" w:rsidRDefault="005730DD" w:rsidP="005730DD">
            <w:pPr>
              <w:bidi/>
            </w:pPr>
            <w:r w:rsidRPr="005730DD">
              <w:t>120</w:t>
            </w:r>
          </w:p>
        </w:tc>
        <w:tc>
          <w:tcPr>
            <w:tcW w:w="0" w:type="auto"/>
            <w:vAlign w:val="center"/>
            <w:hideMark/>
          </w:tcPr>
          <w:p w14:paraId="3B48975D" w14:textId="77777777" w:rsidR="005730DD" w:rsidRPr="005730DD" w:rsidRDefault="005730DD" w:rsidP="005730DD">
            <w:pPr>
              <w:bidi/>
            </w:pPr>
            <w:r w:rsidRPr="005730DD">
              <w:t>1200</w:t>
            </w:r>
          </w:p>
        </w:tc>
        <w:tc>
          <w:tcPr>
            <w:tcW w:w="0" w:type="auto"/>
            <w:vAlign w:val="center"/>
            <w:hideMark/>
          </w:tcPr>
          <w:p w14:paraId="6AE3A6B8" w14:textId="77777777" w:rsidR="005730DD" w:rsidRPr="005730DD" w:rsidRDefault="005730DD" w:rsidP="005730DD">
            <w:pPr>
              <w:bidi/>
            </w:pPr>
            <w:r w:rsidRPr="005730DD">
              <w:t>25200</w:t>
            </w:r>
          </w:p>
        </w:tc>
        <w:tc>
          <w:tcPr>
            <w:tcW w:w="0" w:type="auto"/>
            <w:vAlign w:val="center"/>
            <w:hideMark/>
          </w:tcPr>
          <w:p w14:paraId="3A7FDC2D" w14:textId="77777777" w:rsidR="005730DD" w:rsidRPr="005730DD" w:rsidRDefault="005730DD" w:rsidP="005730DD">
            <w:pPr>
              <w:bidi/>
            </w:pPr>
            <w:r w:rsidRPr="005730DD">
              <w:t>36000</w:t>
            </w:r>
          </w:p>
        </w:tc>
        <w:tc>
          <w:tcPr>
            <w:tcW w:w="0" w:type="auto"/>
            <w:vAlign w:val="center"/>
            <w:hideMark/>
          </w:tcPr>
          <w:p w14:paraId="562E8396" w14:textId="77777777" w:rsidR="005730DD" w:rsidRPr="005730DD" w:rsidRDefault="005730DD" w:rsidP="005730DD">
            <w:pPr>
              <w:bidi/>
            </w:pPr>
            <w:r w:rsidRPr="005730DD">
              <w:t>1200000</w:t>
            </w:r>
          </w:p>
        </w:tc>
        <w:tc>
          <w:tcPr>
            <w:tcW w:w="0" w:type="auto"/>
            <w:vAlign w:val="center"/>
            <w:hideMark/>
          </w:tcPr>
          <w:p w14:paraId="517AF825" w14:textId="77777777" w:rsidR="005730DD" w:rsidRPr="005730DD" w:rsidRDefault="005730DD" w:rsidP="005730DD">
            <w:pPr>
              <w:bidi/>
            </w:pPr>
            <w:r w:rsidRPr="005730DD">
              <w:t>2000000</w:t>
            </w:r>
          </w:p>
        </w:tc>
        <w:tc>
          <w:tcPr>
            <w:tcW w:w="0" w:type="auto"/>
            <w:vAlign w:val="center"/>
            <w:hideMark/>
          </w:tcPr>
          <w:p w14:paraId="758E776F" w14:textId="77777777" w:rsidR="005730DD" w:rsidRPr="005730DD" w:rsidRDefault="005730DD" w:rsidP="005730DD">
            <w:pPr>
              <w:bidi/>
            </w:pPr>
            <w:r w:rsidRPr="005730DD">
              <w:rPr>
                <w:rtl/>
              </w:rPr>
              <w:t>الأولى</w:t>
            </w:r>
          </w:p>
        </w:tc>
      </w:tr>
      <w:tr w:rsidR="005730DD" w:rsidRPr="005730DD" w14:paraId="2095041C" w14:textId="77777777">
        <w:trPr>
          <w:tblCellSpacing w:w="15" w:type="dxa"/>
        </w:trPr>
        <w:tc>
          <w:tcPr>
            <w:tcW w:w="0" w:type="auto"/>
            <w:vAlign w:val="center"/>
            <w:hideMark/>
          </w:tcPr>
          <w:p w14:paraId="1C76CEF0" w14:textId="77777777" w:rsidR="005730DD" w:rsidRPr="005730DD" w:rsidRDefault="005730DD" w:rsidP="005730DD">
            <w:pPr>
              <w:bidi/>
            </w:pPr>
            <w:r w:rsidRPr="005730DD">
              <w:t>750</w:t>
            </w:r>
          </w:p>
        </w:tc>
        <w:tc>
          <w:tcPr>
            <w:tcW w:w="0" w:type="auto"/>
            <w:vAlign w:val="center"/>
            <w:hideMark/>
          </w:tcPr>
          <w:p w14:paraId="14ED7E45" w14:textId="77777777" w:rsidR="005730DD" w:rsidRPr="005730DD" w:rsidRDefault="005730DD" w:rsidP="005730DD">
            <w:pPr>
              <w:bidi/>
            </w:pPr>
            <w:r w:rsidRPr="005730DD">
              <w:t>7500</w:t>
            </w:r>
          </w:p>
        </w:tc>
        <w:tc>
          <w:tcPr>
            <w:tcW w:w="0" w:type="auto"/>
            <w:vAlign w:val="center"/>
            <w:hideMark/>
          </w:tcPr>
          <w:p w14:paraId="7611CF91" w14:textId="77777777" w:rsidR="005730DD" w:rsidRPr="005730DD" w:rsidRDefault="005730DD" w:rsidP="005730DD">
            <w:pPr>
              <w:bidi/>
            </w:pPr>
            <w:r w:rsidRPr="005730DD">
              <w:t>31500</w:t>
            </w:r>
          </w:p>
        </w:tc>
        <w:tc>
          <w:tcPr>
            <w:tcW w:w="0" w:type="auto"/>
            <w:vAlign w:val="center"/>
            <w:hideMark/>
          </w:tcPr>
          <w:p w14:paraId="2454D7DA" w14:textId="77777777" w:rsidR="005730DD" w:rsidRPr="005730DD" w:rsidRDefault="005730DD" w:rsidP="005730DD">
            <w:pPr>
              <w:bidi/>
            </w:pPr>
            <w:r w:rsidRPr="005730DD">
              <w:t>45000</w:t>
            </w:r>
          </w:p>
        </w:tc>
        <w:tc>
          <w:tcPr>
            <w:tcW w:w="0" w:type="auto"/>
            <w:vAlign w:val="center"/>
            <w:hideMark/>
          </w:tcPr>
          <w:p w14:paraId="65E98881" w14:textId="77777777" w:rsidR="005730DD" w:rsidRPr="005730DD" w:rsidRDefault="005730DD" w:rsidP="005730DD">
            <w:pPr>
              <w:bidi/>
            </w:pPr>
            <w:r w:rsidRPr="005730DD">
              <w:t>1500000</w:t>
            </w:r>
          </w:p>
        </w:tc>
        <w:tc>
          <w:tcPr>
            <w:tcW w:w="0" w:type="auto"/>
            <w:vAlign w:val="center"/>
            <w:hideMark/>
          </w:tcPr>
          <w:p w14:paraId="4B26B38D" w14:textId="77777777" w:rsidR="005730DD" w:rsidRPr="005730DD" w:rsidRDefault="005730DD" w:rsidP="005730DD">
            <w:pPr>
              <w:bidi/>
            </w:pPr>
            <w:r w:rsidRPr="005730DD">
              <w:t>2500000</w:t>
            </w:r>
          </w:p>
        </w:tc>
        <w:tc>
          <w:tcPr>
            <w:tcW w:w="0" w:type="auto"/>
            <w:vAlign w:val="center"/>
            <w:hideMark/>
          </w:tcPr>
          <w:p w14:paraId="26C2F746" w14:textId="77777777" w:rsidR="005730DD" w:rsidRPr="005730DD" w:rsidRDefault="005730DD" w:rsidP="005730DD">
            <w:pPr>
              <w:bidi/>
            </w:pPr>
            <w:r w:rsidRPr="005730DD">
              <w:rPr>
                <w:rtl/>
              </w:rPr>
              <w:t>الثانية</w:t>
            </w:r>
          </w:p>
        </w:tc>
      </w:tr>
      <w:tr w:rsidR="005730DD" w:rsidRPr="005730DD" w14:paraId="6B9CD207" w14:textId="77777777">
        <w:trPr>
          <w:tblCellSpacing w:w="15" w:type="dxa"/>
        </w:trPr>
        <w:tc>
          <w:tcPr>
            <w:tcW w:w="0" w:type="auto"/>
            <w:vAlign w:val="center"/>
            <w:hideMark/>
          </w:tcPr>
          <w:p w14:paraId="0FCB6B2F" w14:textId="77777777" w:rsidR="005730DD" w:rsidRPr="005730DD" w:rsidRDefault="005730DD" w:rsidP="005730DD">
            <w:pPr>
              <w:bidi/>
            </w:pPr>
            <w:r w:rsidRPr="005730DD">
              <w:t>1380</w:t>
            </w:r>
          </w:p>
        </w:tc>
        <w:tc>
          <w:tcPr>
            <w:tcW w:w="0" w:type="auto"/>
            <w:vAlign w:val="center"/>
            <w:hideMark/>
          </w:tcPr>
          <w:p w14:paraId="09DBA8B8" w14:textId="77777777" w:rsidR="005730DD" w:rsidRPr="005730DD" w:rsidRDefault="005730DD" w:rsidP="005730DD">
            <w:pPr>
              <w:bidi/>
            </w:pPr>
            <w:r w:rsidRPr="005730DD">
              <w:t>13800</w:t>
            </w:r>
          </w:p>
        </w:tc>
        <w:tc>
          <w:tcPr>
            <w:tcW w:w="0" w:type="auto"/>
            <w:vAlign w:val="center"/>
            <w:hideMark/>
          </w:tcPr>
          <w:p w14:paraId="4AE448A0" w14:textId="77777777" w:rsidR="005730DD" w:rsidRPr="005730DD" w:rsidRDefault="005730DD" w:rsidP="005730DD">
            <w:pPr>
              <w:bidi/>
            </w:pPr>
            <w:r w:rsidRPr="005730DD">
              <w:t>37800</w:t>
            </w:r>
          </w:p>
        </w:tc>
        <w:tc>
          <w:tcPr>
            <w:tcW w:w="0" w:type="auto"/>
            <w:vAlign w:val="center"/>
            <w:hideMark/>
          </w:tcPr>
          <w:p w14:paraId="32C2FB4A" w14:textId="77777777" w:rsidR="005730DD" w:rsidRPr="005730DD" w:rsidRDefault="005730DD" w:rsidP="005730DD">
            <w:pPr>
              <w:bidi/>
            </w:pPr>
            <w:r w:rsidRPr="005730DD">
              <w:t>54000</w:t>
            </w:r>
          </w:p>
        </w:tc>
        <w:tc>
          <w:tcPr>
            <w:tcW w:w="0" w:type="auto"/>
            <w:vAlign w:val="center"/>
            <w:hideMark/>
          </w:tcPr>
          <w:p w14:paraId="7D2F2590" w14:textId="77777777" w:rsidR="005730DD" w:rsidRPr="005730DD" w:rsidRDefault="005730DD" w:rsidP="005730DD">
            <w:pPr>
              <w:bidi/>
            </w:pPr>
            <w:r w:rsidRPr="005730DD">
              <w:t>1800000</w:t>
            </w:r>
          </w:p>
        </w:tc>
        <w:tc>
          <w:tcPr>
            <w:tcW w:w="0" w:type="auto"/>
            <w:vAlign w:val="center"/>
            <w:hideMark/>
          </w:tcPr>
          <w:p w14:paraId="14C103CB" w14:textId="77777777" w:rsidR="005730DD" w:rsidRPr="005730DD" w:rsidRDefault="005730DD" w:rsidP="005730DD">
            <w:pPr>
              <w:bidi/>
            </w:pPr>
            <w:r w:rsidRPr="005730DD">
              <w:t>3000000</w:t>
            </w:r>
          </w:p>
        </w:tc>
        <w:tc>
          <w:tcPr>
            <w:tcW w:w="0" w:type="auto"/>
            <w:vAlign w:val="center"/>
            <w:hideMark/>
          </w:tcPr>
          <w:p w14:paraId="4BBB4D99" w14:textId="77777777" w:rsidR="005730DD" w:rsidRPr="005730DD" w:rsidRDefault="005730DD" w:rsidP="005730DD">
            <w:pPr>
              <w:bidi/>
            </w:pPr>
            <w:r w:rsidRPr="005730DD">
              <w:rPr>
                <w:rtl/>
              </w:rPr>
              <w:t>الثالثة</w:t>
            </w:r>
          </w:p>
        </w:tc>
      </w:tr>
      <w:tr w:rsidR="005730DD" w:rsidRPr="005730DD" w14:paraId="7EE9B543" w14:textId="77777777">
        <w:trPr>
          <w:tblCellSpacing w:w="15" w:type="dxa"/>
        </w:trPr>
        <w:tc>
          <w:tcPr>
            <w:tcW w:w="0" w:type="auto"/>
            <w:vAlign w:val="center"/>
            <w:hideMark/>
          </w:tcPr>
          <w:p w14:paraId="7A324283" w14:textId="77777777" w:rsidR="005730DD" w:rsidRPr="005730DD" w:rsidRDefault="005730DD" w:rsidP="005730DD">
            <w:pPr>
              <w:bidi/>
            </w:pPr>
            <w:r w:rsidRPr="005730DD">
              <w:t>2010</w:t>
            </w:r>
          </w:p>
        </w:tc>
        <w:tc>
          <w:tcPr>
            <w:tcW w:w="0" w:type="auto"/>
            <w:vAlign w:val="center"/>
            <w:hideMark/>
          </w:tcPr>
          <w:p w14:paraId="752E920C" w14:textId="77777777" w:rsidR="005730DD" w:rsidRPr="005730DD" w:rsidRDefault="005730DD" w:rsidP="005730DD">
            <w:pPr>
              <w:bidi/>
            </w:pPr>
            <w:r w:rsidRPr="005730DD">
              <w:t>20100</w:t>
            </w:r>
          </w:p>
        </w:tc>
        <w:tc>
          <w:tcPr>
            <w:tcW w:w="0" w:type="auto"/>
            <w:vAlign w:val="center"/>
            <w:hideMark/>
          </w:tcPr>
          <w:p w14:paraId="16A5DD4F" w14:textId="77777777" w:rsidR="005730DD" w:rsidRPr="005730DD" w:rsidRDefault="005730DD" w:rsidP="005730DD">
            <w:pPr>
              <w:bidi/>
            </w:pPr>
            <w:r w:rsidRPr="005730DD">
              <w:t>44100</w:t>
            </w:r>
          </w:p>
        </w:tc>
        <w:tc>
          <w:tcPr>
            <w:tcW w:w="0" w:type="auto"/>
            <w:vAlign w:val="center"/>
            <w:hideMark/>
          </w:tcPr>
          <w:p w14:paraId="7427D86B" w14:textId="77777777" w:rsidR="005730DD" w:rsidRPr="005730DD" w:rsidRDefault="005730DD" w:rsidP="005730DD">
            <w:pPr>
              <w:bidi/>
            </w:pPr>
            <w:r w:rsidRPr="005730DD">
              <w:t>63000</w:t>
            </w:r>
          </w:p>
        </w:tc>
        <w:tc>
          <w:tcPr>
            <w:tcW w:w="0" w:type="auto"/>
            <w:vAlign w:val="center"/>
            <w:hideMark/>
          </w:tcPr>
          <w:p w14:paraId="37A66DF8" w14:textId="77777777" w:rsidR="005730DD" w:rsidRPr="005730DD" w:rsidRDefault="005730DD" w:rsidP="005730DD">
            <w:pPr>
              <w:bidi/>
            </w:pPr>
            <w:r w:rsidRPr="005730DD">
              <w:t>2100000</w:t>
            </w:r>
          </w:p>
        </w:tc>
        <w:tc>
          <w:tcPr>
            <w:tcW w:w="0" w:type="auto"/>
            <w:vAlign w:val="center"/>
            <w:hideMark/>
          </w:tcPr>
          <w:p w14:paraId="06D5888E" w14:textId="77777777" w:rsidR="005730DD" w:rsidRPr="005730DD" w:rsidRDefault="005730DD" w:rsidP="005730DD">
            <w:pPr>
              <w:bidi/>
            </w:pPr>
            <w:r w:rsidRPr="005730DD">
              <w:t>3500000</w:t>
            </w:r>
          </w:p>
        </w:tc>
        <w:tc>
          <w:tcPr>
            <w:tcW w:w="0" w:type="auto"/>
            <w:vAlign w:val="center"/>
            <w:hideMark/>
          </w:tcPr>
          <w:p w14:paraId="48E471AC" w14:textId="77777777" w:rsidR="005730DD" w:rsidRPr="005730DD" w:rsidRDefault="005730DD" w:rsidP="005730DD">
            <w:pPr>
              <w:bidi/>
            </w:pPr>
            <w:r w:rsidRPr="005730DD">
              <w:rPr>
                <w:rtl/>
              </w:rPr>
              <w:t>الرابعة</w:t>
            </w:r>
          </w:p>
        </w:tc>
      </w:tr>
      <w:tr w:rsidR="005730DD" w:rsidRPr="005730DD" w14:paraId="51DD4465" w14:textId="77777777">
        <w:trPr>
          <w:tblCellSpacing w:w="15" w:type="dxa"/>
        </w:trPr>
        <w:tc>
          <w:tcPr>
            <w:tcW w:w="0" w:type="auto"/>
            <w:vAlign w:val="center"/>
            <w:hideMark/>
          </w:tcPr>
          <w:p w14:paraId="66DBCD1D" w14:textId="77777777" w:rsidR="005730DD" w:rsidRPr="005730DD" w:rsidRDefault="005730DD" w:rsidP="005730DD">
            <w:pPr>
              <w:bidi/>
            </w:pPr>
            <w:r w:rsidRPr="005730DD">
              <w:t>2640</w:t>
            </w:r>
          </w:p>
        </w:tc>
        <w:tc>
          <w:tcPr>
            <w:tcW w:w="0" w:type="auto"/>
            <w:vAlign w:val="center"/>
            <w:hideMark/>
          </w:tcPr>
          <w:p w14:paraId="1958C274" w14:textId="77777777" w:rsidR="005730DD" w:rsidRPr="005730DD" w:rsidRDefault="005730DD" w:rsidP="005730DD">
            <w:pPr>
              <w:bidi/>
            </w:pPr>
            <w:r w:rsidRPr="005730DD">
              <w:t>26400</w:t>
            </w:r>
          </w:p>
        </w:tc>
        <w:tc>
          <w:tcPr>
            <w:tcW w:w="0" w:type="auto"/>
            <w:vAlign w:val="center"/>
            <w:hideMark/>
          </w:tcPr>
          <w:p w14:paraId="7D28ABB6" w14:textId="77777777" w:rsidR="005730DD" w:rsidRPr="005730DD" w:rsidRDefault="005730DD" w:rsidP="005730DD">
            <w:pPr>
              <w:bidi/>
            </w:pPr>
            <w:r w:rsidRPr="005730DD">
              <w:t>50400</w:t>
            </w:r>
          </w:p>
        </w:tc>
        <w:tc>
          <w:tcPr>
            <w:tcW w:w="0" w:type="auto"/>
            <w:vAlign w:val="center"/>
            <w:hideMark/>
          </w:tcPr>
          <w:p w14:paraId="1C506193" w14:textId="77777777" w:rsidR="005730DD" w:rsidRPr="005730DD" w:rsidRDefault="005730DD" w:rsidP="005730DD">
            <w:pPr>
              <w:bidi/>
            </w:pPr>
            <w:r w:rsidRPr="005730DD">
              <w:t>72000</w:t>
            </w:r>
          </w:p>
        </w:tc>
        <w:tc>
          <w:tcPr>
            <w:tcW w:w="0" w:type="auto"/>
            <w:vAlign w:val="center"/>
            <w:hideMark/>
          </w:tcPr>
          <w:p w14:paraId="52BC1300" w14:textId="77777777" w:rsidR="005730DD" w:rsidRPr="005730DD" w:rsidRDefault="005730DD" w:rsidP="005730DD">
            <w:pPr>
              <w:bidi/>
            </w:pPr>
            <w:r w:rsidRPr="005730DD">
              <w:t>2400000</w:t>
            </w:r>
          </w:p>
        </w:tc>
        <w:tc>
          <w:tcPr>
            <w:tcW w:w="0" w:type="auto"/>
            <w:vAlign w:val="center"/>
            <w:hideMark/>
          </w:tcPr>
          <w:p w14:paraId="1431D599" w14:textId="77777777" w:rsidR="005730DD" w:rsidRPr="005730DD" w:rsidRDefault="005730DD" w:rsidP="005730DD">
            <w:pPr>
              <w:bidi/>
            </w:pPr>
            <w:r w:rsidRPr="005730DD">
              <w:t>4000000</w:t>
            </w:r>
          </w:p>
        </w:tc>
        <w:tc>
          <w:tcPr>
            <w:tcW w:w="0" w:type="auto"/>
            <w:vAlign w:val="center"/>
            <w:hideMark/>
          </w:tcPr>
          <w:p w14:paraId="56DC05F4" w14:textId="77777777" w:rsidR="005730DD" w:rsidRPr="005730DD" w:rsidRDefault="005730DD" w:rsidP="005730DD">
            <w:pPr>
              <w:bidi/>
            </w:pPr>
            <w:r w:rsidRPr="005730DD">
              <w:rPr>
                <w:rtl/>
              </w:rPr>
              <w:t>الخامسة</w:t>
            </w:r>
          </w:p>
        </w:tc>
      </w:tr>
      <w:tr w:rsidR="005730DD" w:rsidRPr="005730DD" w14:paraId="00F27E0A" w14:textId="77777777">
        <w:trPr>
          <w:trHeight w:val="300"/>
          <w:tblCellSpacing w:w="15" w:type="dxa"/>
        </w:trPr>
        <w:tc>
          <w:tcPr>
            <w:tcW w:w="0" w:type="auto"/>
            <w:vAlign w:val="center"/>
            <w:hideMark/>
          </w:tcPr>
          <w:p w14:paraId="3095BFF8" w14:textId="77777777" w:rsidR="005730DD" w:rsidRPr="005730DD" w:rsidRDefault="005730DD" w:rsidP="005730DD">
            <w:pPr>
              <w:bidi/>
            </w:pPr>
            <w:r w:rsidRPr="005730DD">
              <w:t> </w:t>
            </w:r>
          </w:p>
        </w:tc>
        <w:tc>
          <w:tcPr>
            <w:tcW w:w="0" w:type="auto"/>
            <w:vAlign w:val="center"/>
            <w:hideMark/>
          </w:tcPr>
          <w:p w14:paraId="7BF2486F" w14:textId="77777777" w:rsidR="005730DD" w:rsidRPr="005730DD" w:rsidRDefault="005730DD" w:rsidP="005730DD">
            <w:pPr>
              <w:bidi/>
            </w:pPr>
            <w:r w:rsidRPr="005730DD">
              <w:t> </w:t>
            </w:r>
          </w:p>
        </w:tc>
        <w:tc>
          <w:tcPr>
            <w:tcW w:w="0" w:type="auto"/>
            <w:vAlign w:val="center"/>
            <w:hideMark/>
          </w:tcPr>
          <w:p w14:paraId="18D1C522" w14:textId="77777777" w:rsidR="005730DD" w:rsidRPr="005730DD" w:rsidRDefault="005730DD" w:rsidP="005730DD">
            <w:pPr>
              <w:bidi/>
            </w:pPr>
            <w:r w:rsidRPr="005730DD">
              <w:t> </w:t>
            </w:r>
          </w:p>
        </w:tc>
        <w:tc>
          <w:tcPr>
            <w:tcW w:w="0" w:type="auto"/>
            <w:vAlign w:val="center"/>
            <w:hideMark/>
          </w:tcPr>
          <w:p w14:paraId="4284781A" w14:textId="77777777" w:rsidR="005730DD" w:rsidRPr="005730DD" w:rsidRDefault="005730DD" w:rsidP="005730DD">
            <w:pPr>
              <w:bidi/>
            </w:pPr>
            <w:r w:rsidRPr="005730DD">
              <w:t> </w:t>
            </w:r>
          </w:p>
        </w:tc>
        <w:tc>
          <w:tcPr>
            <w:tcW w:w="0" w:type="auto"/>
            <w:vAlign w:val="center"/>
            <w:hideMark/>
          </w:tcPr>
          <w:p w14:paraId="6F00539C" w14:textId="77777777" w:rsidR="005730DD" w:rsidRPr="005730DD" w:rsidRDefault="005730DD" w:rsidP="005730DD">
            <w:pPr>
              <w:bidi/>
            </w:pPr>
            <w:r w:rsidRPr="005730DD">
              <w:t> </w:t>
            </w:r>
          </w:p>
        </w:tc>
        <w:tc>
          <w:tcPr>
            <w:tcW w:w="0" w:type="auto"/>
            <w:vAlign w:val="center"/>
            <w:hideMark/>
          </w:tcPr>
          <w:p w14:paraId="7A948386" w14:textId="77777777" w:rsidR="005730DD" w:rsidRPr="005730DD" w:rsidRDefault="005730DD" w:rsidP="005730DD">
            <w:pPr>
              <w:bidi/>
            </w:pPr>
            <w:r w:rsidRPr="005730DD">
              <w:t> </w:t>
            </w:r>
          </w:p>
        </w:tc>
        <w:tc>
          <w:tcPr>
            <w:tcW w:w="0" w:type="auto"/>
            <w:vAlign w:val="center"/>
            <w:hideMark/>
          </w:tcPr>
          <w:p w14:paraId="2E86B5A0" w14:textId="77777777" w:rsidR="005730DD" w:rsidRPr="005730DD" w:rsidRDefault="005730DD" w:rsidP="005730DD">
            <w:pPr>
              <w:bidi/>
            </w:pPr>
            <w:r w:rsidRPr="005730DD">
              <w:t> </w:t>
            </w:r>
          </w:p>
        </w:tc>
      </w:tr>
    </w:tbl>
    <w:p w14:paraId="71DA00F9" w14:textId="77777777" w:rsidR="005730DD" w:rsidRPr="005730DD" w:rsidRDefault="005730DD" w:rsidP="005730DD">
      <w:pPr>
        <w:bidi/>
      </w:pPr>
      <w:r w:rsidRPr="005730DD">
        <w:t> </w:t>
      </w:r>
    </w:p>
    <w:p w14:paraId="53644B44" w14:textId="77777777" w:rsidR="005730DD" w:rsidRPr="005730DD" w:rsidRDefault="005730DD" w:rsidP="005730DD">
      <w:pPr>
        <w:bidi/>
      </w:pPr>
      <w:r w:rsidRPr="005730DD">
        <w:rPr>
          <w:rtl/>
        </w:rPr>
        <w:t>حساب الضريبة على الوحدة السكنية الثانية فى ضوء القرار الجمهورى رقم 117 لسنة 2014</w:t>
      </w:r>
    </w:p>
    <w:p w14:paraId="49A849FE" w14:textId="77777777" w:rsidR="005730DD" w:rsidRPr="005730DD" w:rsidRDefault="005730DD" w:rsidP="005730DD">
      <w:pPr>
        <w:bidi/>
      </w:pPr>
      <w:r w:rsidRPr="005730DD">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18"/>
        <w:gridCol w:w="1098"/>
        <w:gridCol w:w="1660"/>
        <w:gridCol w:w="1727"/>
        <w:gridCol w:w="1234"/>
        <w:gridCol w:w="1054"/>
        <w:gridCol w:w="669"/>
      </w:tblGrid>
      <w:tr w:rsidR="005730DD" w:rsidRPr="005730DD" w14:paraId="3ABAFFE8" w14:textId="77777777">
        <w:trPr>
          <w:tblCellSpacing w:w="15" w:type="dxa"/>
        </w:trPr>
        <w:tc>
          <w:tcPr>
            <w:tcW w:w="0" w:type="auto"/>
            <w:vAlign w:val="center"/>
            <w:hideMark/>
          </w:tcPr>
          <w:p w14:paraId="582B6A64" w14:textId="77777777" w:rsidR="005730DD" w:rsidRPr="005730DD" w:rsidRDefault="005730DD" w:rsidP="005730DD">
            <w:pPr>
              <w:bidi/>
            </w:pPr>
            <w:r w:rsidRPr="005730DD">
              <w:rPr>
                <w:rtl/>
              </w:rPr>
              <w:t>الضريبة السنوية المستحقة</w:t>
            </w:r>
          </w:p>
        </w:tc>
        <w:tc>
          <w:tcPr>
            <w:tcW w:w="0" w:type="auto"/>
            <w:vAlign w:val="center"/>
            <w:hideMark/>
          </w:tcPr>
          <w:p w14:paraId="149D655C" w14:textId="77777777" w:rsidR="005730DD" w:rsidRPr="005730DD" w:rsidRDefault="005730DD" w:rsidP="005730DD">
            <w:pPr>
              <w:bidi/>
            </w:pPr>
            <w:r w:rsidRPr="005730DD">
              <w:rPr>
                <w:rtl/>
              </w:rPr>
              <w:t>وعاء الضريبة</w:t>
            </w:r>
          </w:p>
        </w:tc>
        <w:tc>
          <w:tcPr>
            <w:tcW w:w="0" w:type="auto"/>
            <w:vAlign w:val="center"/>
            <w:hideMark/>
          </w:tcPr>
          <w:p w14:paraId="75462487" w14:textId="77777777" w:rsidR="005730DD" w:rsidRPr="005730DD" w:rsidRDefault="005730DD" w:rsidP="005730DD">
            <w:pPr>
              <w:bidi/>
            </w:pPr>
            <w:r w:rsidRPr="005730DD">
              <w:rPr>
                <w:rtl/>
              </w:rPr>
              <w:t>صافى القيمة الإيجارية</w:t>
            </w:r>
          </w:p>
        </w:tc>
        <w:tc>
          <w:tcPr>
            <w:tcW w:w="0" w:type="auto"/>
            <w:vAlign w:val="center"/>
            <w:hideMark/>
          </w:tcPr>
          <w:p w14:paraId="1EF45265" w14:textId="77777777" w:rsidR="005730DD" w:rsidRPr="005730DD" w:rsidRDefault="005730DD" w:rsidP="005730DD">
            <w:pPr>
              <w:bidi/>
            </w:pPr>
            <w:r w:rsidRPr="005730DD">
              <w:rPr>
                <w:rtl/>
              </w:rPr>
              <w:t>القيمة الإيجارية السنوية</w:t>
            </w:r>
          </w:p>
        </w:tc>
        <w:tc>
          <w:tcPr>
            <w:tcW w:w="0" w:type="auto"/>
            <w:vAlign w:val="center"/>
            <w:hideMark/>
          </w:tcPr>
          <w:p w14:paraId="1E09B034" w14:textId="77777777" w:rsidR="005730DD" w:rsidRPr="005730DD" w:rsidRDefault="005730DD" w:rsidP="005730DD">
            <w:pPr>
              <w:bidi/>
            </w:pPr>
            <w:r w:rsidRPr="005730DD">
              <w:rPr>
                <w:rtl/>
              </w:rPr>
              <w:t>القيمة الرأسمالية</w:t>
            </w:r>
          </w:p>
        </w:tc>
        <w:tc>
          <w:tcPr>
            <w:tcW w:w="0" w:type="auto"/>
            <w:vAlign w:val="center"/>
            <w:hideMark/>
          </w:tcPr>
          <w:p w14:paraId="74B9879D" w14:textId="77777777" w:rsidR="005730DD" w:rsidRPr="005730DD" w:rsidRDefault="005730DD" w:rsidP="005730DD">
            <w:pPr>
              <w:bidi/>
            </w:pPr>
            <w:r w:rsidRPr="005730DD">
              <w:rPr>
                <w:rtl/>
              </w:rPr>
              <w:t>القيمة السوقية</w:t>
            </w:r>
          </w:p>
        </w:tc>
        <w:tc>
          <w:tcPr>
            <w:tcW w:w="0" w:type="auto"/>
            <w:vAlign w:val="center"/>
            <w:hideMark/>
          </w:tcPr>
          <w:p w14:paraId="0C94923E" w14:textId="77777777" w:rsidR="005730DD" w:rsidRPr="005730DD" w:rsidRDefault="005730DD" w:rsidP="005730DD">
            <w:pPr>
              <w:bidi/>
            </w:pPr>
            <w:r w:rsidRPr="005730DD">
              <w:rPr>
                <w:rtl/>
              </w:rPr>
              <w:t>الوحدة</w:t>
            </w:r>
          </w:p>
        </w:tc>
      </w:tr>
      <w:tr w:rsidR="005730DD" w:rsidRPr="005730DD" w14:paraId="2D3CBA22" w14:textId="77777777">
        <w:trPr>
          <w:tblCellSpacing w:w="15" w:type="dxa"/>
        </w:trPr>
        <w:tc>
          <w:tcPr>
            <w:tcW w:w="0" w:type="auto"/>
            <w:vAlign w:val="center"/>
            <w:hideMark/>
          </w:tcPr>
          <w:p w14:paraId="32F847A4" w14:textId="77777777" w:rsidR="005730DD" w:rsidRPr="005730DD" w:rsidRDefault="005730DD" w:rsidP="005730DD">
            <w:pPr>
              <w:bidi/>
            </w:pPr>
            <w:r w:rsidRPr="005730DD">
              <w:t>126</w:t>
            </w:r>
          </w:p>
        </w:tc>
        <w:tc>
          <w:tcPr>
            <w:tcW w:w="0" w:type="auto"/>
            <w:vAlign w:val="center"/>
            <w:hideMark/>
          </w:tcPr>
          <w:p w14:paraId="79E128AE" w14:textId="77777777" w:rsidR="005730DD" w:rsidRPr="005730DD" w:rsidRDefault="005730DD" w:rsidP="005730DD">
            <w:pPr>
              <w:bidi/>
            </w:pPr>
            <w:r w:rsidRPr="005730DD">
              <w:t>1260</w:t>
            </w:r>
          </w:p>
        </w:tc>
        <w:tc>
          <w:tcPr>
            <w:tcW w:w="0" w:type="auto"/>
            <w:vAlign w:val="center"/>
            <w:hideMark/>
          </w:tcPr>
          <w:p w14:paraId="4DE28DB3" w14:textId="77777777" w:rsidR="005730DD" w:rsidRPr="005730DD" w:rsidRDefault="005730DD" w:rsidP="005730DD">
            <w:pPr>
              <w:bidi/>
            </w:pPr>
            <w:r w:rsidRPr="005730DD">
              <w:t>1260</w:t>
            </w:r>
          </w:p>
        </w:tc>
        <w:tc>
          <w:tcPr>
            <w:tcW w:w="0" w:type="auto"/>
            <w:vAlign w:val="center"/>
            <w:hideMark/>
          </w:tcPr>
          <w:p w14:paraId="0762FADA" w14:textId="77777777" w:rsidR="005730DD" w:rsidRPr="005730DD" w:rsidRDefault="005730DD" w:rsidP="005730DD">
            <w:pPr>
              <w:bidi/>
            </w:pPr>
            <w:r w:rsidRPr="005730DD">
              <w:t>1800</w:t>
            </w:r>
          </w:p>
        </w:tc>
        <w:tc>
          <w:tcPr>
            <w:tcW w:w="0" w:type="auto"/>
            <w:vAlign w:val="center"/>
            <w:hideMark/>
          </w:tcPr>
          <w:p w14:paraId="7B3E231B" w14:textId="77777777" w:rsidR="005730DD" w:rsidRPr="005730DD" w:rsidRDefault="005730DD" w:rsidP="005730DD">
            <w:pPr>
              <w:bidi/>
            </w:pPr>
            <w:r w:rsidRPr="005730DD">
              <w:t>60000</w:t>
            </w:r>
          </w:p>
        </w:tc>
        <w:tc>
          <w:tcPr>
            <w:tcW w:w="0" w:type="auto"/>
            <w:vAlign w:val="center"/>
            <w:hideMark/>
          </w:tcPr>
          <w:p w14:paraId="19D5BF91" w14:textId="77777777" w:rsidR="005730DD" w:rsidRPr="005730DD" w:rsidRDefault="005730DD" w:rsidP="005730DD">
            <w:pPr>
              <w:bidi/>
            </w:pPr>
            <w:r w:rsidRPr="005730DD">
              <w:t>100000</w:t>
            </w:r>
          </w:p>
        </w:tc>
        <w:tc>
          <w:tcPr>
            <w:tcW w:w="0" w:type="auto"/>
            <w:vAlign w:val="center"/>
            <w:hideMark/>
          </w:tcPr>
          <w:p w14:paraId="3822E1C9" w14:textId="77777777" w:rsidR="005730DD" w:rsidRPr="005730DD" w:rsidRDefault="005730DD" w:rsidP="005730DD">
            <w:pPr>
              <w:bidi/>
            </w:pPr>
            <w:r w:rsidRPr="005730DD">
              <w:rPr>
                <w:rtl/>
              </w:rPr>
              <w:t>الأولى</w:t>
            </w:r>
          </w:p>
        </w:tc>
      </w:tr>
      <w:tr w:rsidR="005730DD" w:rsidRPr="005730DD" w14:paraId="64D5EE42" w14:textId="77777777">
        <w:trPr>
          <w:tblCellSpacing w:w="15" w:type="dxa"/>
        </w:trPr>
        <w:tc>
          <w:tcPr>
            <w:tcW w:w="0" w:type="auto"/>
            <w:vAlign w:val="center"/>
            <w:hideMark/>
          </w:tcPr>
          <w:p w14:paraId="0DBD633A" w14:textId="77777777" w:rsidR="005730DD" w:rsidRPr="005730DD" w:rsidRDefault="005730DD" w:rsidP="005730DD">
            <w:pPr>
              <w:bidi/>
            </w:pPr>
            <w:r w:rsidRPr="005730DD">
              <w:t>189</w:t>
            </w:r>
          </w:p>
        </w:tc>
        <w:tc>
          <w:tcPr>
            <w:tcW w:w="0" w:type="auto"/>
            <w:vAlign w:val="center"/>
            <w:hideMark/>
          </w:tcPr>
          <w:p w14:paraId="35945661" w14:textId="77777777" w:rsidR="005730DD" w:rsidRPr="005730DD" w:rsidRDefault="005730DD" w:rsidP="005730DD">
            <w:pPr>
              <w:bidi/>
            </w:pPr>
            <w:r w:rsidRPr="005730DD">
              <w:t>1890</w:t>
            </w:r>
          </w:p>
        </w:tc>
        <w:tc>
          <w:tcPr>
            <w:tcW w:w="0" w:type="auto"/>
            <w:vAlign w:val="center"/>
            <w:hideMark/>
          </w:tcPr>
          <w:p w14:paraId="16C28475" w14:textId="77777777" w:rsidR="005730DD" w:rsidRPr="005730DD" w:rsidRDefault="005730DD" w:rsidP="005730DD">
            <w:pPr>
              <w:bidi/>
            </w:pPr>
            <w:r w:rsidRPr="005730DD">
              <w:t>1890</w:t>
            </w:r>
          </w:p>
        </w:tc>
        <w:tc>
          <w:tcPr>
            <w:tcW w:w="0" w:type="auto"/>
            <w:vAlign w:val="center"/>
            <w:hideMark/>
          </w:tcPr>
          <w:p w14:paraId="3F603F57" w14:textId="77777777" w:rsidR="005730DD" w:rsidRPr="005730DD" w:rsidRDefault="005730DD" w:rsidP="005730DD">
            <w:pPr>
              <w:bidi/>
            </w:pPr>
            <w:r w:rsidRPr="005730DD">
              <w:t>2700</w:t>
            </w:r>
          </w:p>
        </w:tc>
        <w:tc>
          <w:tcPr>
            <w:tcW w:w="0" w:type="auto"/>
            <w:vAlign w:val="center"/>
            <w:hideMark/>
          </w:tcPr>
          <w:p w14:paraId="6A6AC757" w14:textId="77777777" w:rsidR="005730DD" w:rsidRPr="005730DD" w:rsidRDefault="005730DD" w:rsidP="005730DD">
            <w:pPr>
              <w:bidi/>
            </w:pPr>
            <w:r w:rsidRPr="005730DD">
              <w:t>90000</w:t>
            </w:r>
          </w:p>
        </w:tc>
        <w:tc>
          <w:tcPr>
            <w:tcW w:w="0" w:type="auto"/>
            <w:vAlign w:val="center"/>
            <w:hideMark/>
          </w:tcPr>
          <w:p w14:paraId="1D6E5389" w14:textId="77777777" w:rsidR="005730DD" w:rsidRPr="005730DD" w:rsidRDefault="005730DD" w:rsidP="005730DD">
            <w:pPr>
              <w:bidi/>
            </w:pPr>
            <w:r w:rsidRPr="005730DD">
              <w:t>150000</w:t>
            </w:r>
          </w:p>
        </w:tc>
        <w:tc>
          <w:tcPr>
            <w:tcW w:w="0" w:type="auto"/>
            <w:vAlign w:val="center"/>
            <w:hideMark/>
          </w:tcPr>
          <w:p w14:paraId="2C877D12" w14:textId="77777777" w:rsidR="005730DD" w:rsidRPr="005730DD" w:rsidRDefault="005730DD" w:rsidP="005730DD">
            <w:pPr>
              <w:bidi/>
            </w:pPr>
            <w:r w:rsidRPr="005730DD">
              <w:rPr>
                <w:rtl/>
              </w:rPr>
              <w:t>الثانية</w:t>
            </w:r>
          </w:p>
        </w:tc>
      </w:tr>
      <w:tr w:rsidR="005730DD" w:rsidRPr="005730DD" w14:paraId="73B02D85" w14:textId="77777777">
        <w:trPr>
          <w:tblCellSpacing w:w="15" w:type="dxa"/>
        </w:trPr>
        <w:tc>
          <w:tcPr>
            <w:tcW w:w="0" w:type="auto"/>
            <w:vAlign w:val="center"/>
            <w:hideMark/>
          </w:tcPr>
          <w:p w14:paraId="7E224831" w14:textId="77777777" w:rsidR="005730DD" w:rsidRPr="005730DD" w:rsidRDefault="005730DD" w:rsidP="005730DD">
            <w:pPr>
              <w:bidi/>
            </w:pPr>
            <w:r w:rsidRPr="005730DD">
              <w:t>252</w:t>
            </w:r>
          </w:p>
        </w:tc>
        <w:tc>
          <w:tcPr>
            <w:tcW w:w="0" w:type="auto"/>
            <w:vAlign w:val="center"/>
            <w:hideMark/>
          </w:tcPr>
          <w:p w14:paraId="0438876D" w14:textId="77777777" w:rsidR="005730DD" w:rsidRPr="005730DD" w:rsidRDefault="005730DD" w:rsidP="005730DD">
            <w:pPr>
              <w:bidi/>
            </w:pPr>
            <w:r w:rsidRPr="005730DD">
              <w:t>2520</w:t>
            </w:r>
          </w:p>
        </w:tc>
        <w:tc>
          <w:tcPr>
            <w:tcW w:w="0" w:type="auto"/>
            <w:vAlign w:val="center"/>
            <w:hideMark/>
          </w:tcPr>
          <w:p w14:paraId="07B00B63" w14:textId="77777777" w:rsidR="005730DD" w:rsidRPr="005730DD" w:rsidRDefault="005730DD" w:rsidP="005730DD">
            <w:pPr>
              <w:bidi/>
            </w:pPr>
            <w:r w:rsidRPr="005730DD">
              <w:t>2520</w:t>
            </w:r>
          </w:p>
        </w:tc>
        <w:tc>
          <w:tcPr>
            <w:tcW w:w="0" w:type="auto"/>
            <w:vAlign w:val="center"/>
            <w:hideMark/>
          </w:tcPr>
          <w:p w14:paraId="07B17D94" w14:textId="77777777" w:rsidR="005730DD" w:rsidRPr="005730DD" w:rsidRDefault="005730DD" w:rsidP="005730DD">
            <w:pPr>
              <w:bidi/>
            </w:pPr>
            <w:r w:rsidRPr="005730DD">
              <w:t>3600</w:t>
            </w:r>
          </w:p>
        </w:tc>
        <w:tc>
          <w:tcPr>
            <w:tcW w:w="0" w:type="auto"/>
            <w:vAlign w:val="center"/>
            <w:hideMark/>
          </w:tcPr>
          <w:p w14:paraId="3F2B5B7A" w14:textId="77777777" w:rsidR="005730DD" w:rsidRPr="005730DD" w:rsidRDefault="005730DD" w:rsidP="005730DD">
            <w:pPr>
              <w:bidi/>
            </w:pPr>
            <w:r w:rsidRPr="005730DD">
              <w:t>120000</w:t>
            </w:r>
          </w:p>
        </w:tc>
        <w:tc>
          <w:tcPr>
            <w:tcW w:w="0" w:type="auto"/>
            <w:vAlign w:val="center"/>
            <w:hideMark/>
          </w:tcPr>
          <w:p w14:paraId="7D612072" w14:textId="77777777" w:rsidR="005730DD" w:rsidRPr="005730DD" w:rsidRDefault="005730DD" w:rsidP="005730DD">
            <w:pPr>
              <w:bidi/>
            </w:pPr>
            <w:r w:rsidRPr="005730DD">
              <w:t>200000</w:t>
            </w:r>
          </w:p>
        </w:tc>
        <w:tc>
          <w:tcPr>
            <w:tcW w:w="0" w:type="auto"/>
            <w:vAlign w:val="center"/>
            <w:hideMark/>
          </w:tcPr>
          <w:p w14:paraId="1226C069" w14:textId="77777777" w:rsidR="005730DD" w:rsidRPr="005730DD" w:rsidRDefault="005730DD" w:rsidP="005730DD">
            <w:pPr>
              <w:bidi/>
            </w:pPr>
            <w:r w:rsidRPr="005730DD">
              <w:rPr>
                <w:rtl/>
              </w:rPr>
              <w:t>الثالثة</w:t>
            </w:r>
          </w:p>
        </w:tc>
      </w:tr>
      <w:tr w:rsidR="005730DD" w:rsidRPr="005730DD" w14:paraId="734E3D63" w14:textId="77777777">
        <w:trPr>
          <w:tblCellSpacing w:w="15" w:type="dxa"/>
        </w:trPr>
        <w:tc>
          <w:tcPr>
            <w:tcW w:w="0" w:type="auto"/>
            <w:vAlign w:val="center"/>
            <w:hideMark/>
          </w:tcPr>
          <w:p w14:paraId="48CF3C0E" w14:textId="77777777" w:rsidR="005730DD" w:rsidRPr="005730DD" w:rsidRDefault="005730DD" w:rsidP="005730DD">
            <w:pPr>
              <w:bidi/>
            </w:pPr>
            <w:r w:rsidRPr="005730DD">
              <w:t>315</w:t>
            </w:r>
          </w:p>
        </w:tc>
        <w:tc>
          <w:tcPr>
            <w:tcW w:w="0" w:type="auto"/>
            <w:vAlign w:val="center"/>
            <w:hideMark/>
          </w:tcPr>
          <w:p w14:paraId="513FBEED" w14:textId="77777777" w:rsidR="005730DD" w:rsidRPr="005730DD" w:rsidRDefault="005730DD" w:rsidP="005730DD">
            <w:pPr>
              <w:bidi/>
            </w:pPr>
            <w:r w:rsidRPr="005730DD">
              <w:t>3150</w:t>
            </w:r>
          </w:p>
        </w:tc>
        <w:tc>
          <w:tcPr>
            <w:tcW w:w="0" w:type="auto"/>
            <w:vAlign w:val="center"/>
            <w:hideMark/>
          </w:tcPr>
          <w:p w14:paraId="158C5BC6" w14:textId="77777777" w:rsidR="005730DD" w:rsidRPr="005730DD" w:rsidRDefault="005730DD" w:rsidP="005730DD">
            <w:pPr>
              <w:bidi/>
            </w:pPr>
            <w:r w:rsidRPr="005730DD">
              <w:t>3150</w:t>
            </w:r>
          </w:p>
        </w:tc>
        <w:tc>
          <w:tcPr>
            <w:tcW w:w="0" w:type="auto"/>
            <w:vAlign w:val="center"/>
            <w:hideMark/>
          </w:tcPr>
          <w:p w14:paraId="44A96DF5" w14:textId="77777777" w:rsidR="005730DD" w:rsidRPr="005730DD" w:rsidRDefault="005730DD" w:rsidP="005730DD">
            <w:pPr>
              <w:bidi/>
            </w:pPr>
            <w:r w:rsidRPr="005730DD">
              <w:t>4500</w:t>
            </w:r>
          </w:p>
        </w:tc>
        <w:tc>
          <w:tcPr>
            <w:tcW w:w="0" w:type="auto"/>
            <w:vAlign w:val="center"/>
            <w:hideMark/>
          </w:tcPr>
          <w:p w14:paraId="32EC1E3B" w14:textId="77777777" w:rsidR="005730DD" w:rsidRPr="005730DD" w:rsidRDefault="005730DD" w:rsidP="005730DD">
            <w:pPr>
              <w:bidi/>
            </w:pPr>
            <w:r w:rsidRPr="005730DD">
              <w:t>150000</w:t>
            </w:r>
          </w:p>
        </w:tc>
        <w:tc>
          <w:tcPr>
            <w:tcW w:w="0" w:type="auto"/>
            <w:vAlign w:val="center"/>
            <w:hideMark/>
          </w:tcPr>
          <w:p w14:paraId="27508930" w14:textId="77777777" w:rsidR="005730DD" w:rsidRPr="005730DD" w:rsidRDefault="005730DD" w:rsidP="005730DD">
            <w:pPr>
              <w:bidi/>
            </w:pPr>
            <w:r w:rsidRPr="005730DD">
              <w:t>250000</w:t>
            </w:r>
          </w:p>
        </w:tc>
        <w:tc>
          <w:tcPr>
            <w:tcW w:w="0" w:type="auto"/>
            <w:vAlign w:val="center"/>
            <w:hideMark/>
          </w:tcPr>
          <w:p w14:paraId="57ABC26A" w14:textId="77777777" w:rsidR="005730DD" w:rsidRPr="005730DD" w:rsidRDefault="005730DD" w:rsidP="005730DD">
            <w:pPr>
              <w:bidi/>
            </w:pPr>
            <w:r w:rsidRPr="005730DD">
              <w:rPr>
                <w:rtl/>
              </w:rPr>
              <w:t>الرابعة</w:t>
            </w:r>
          </w:p>
        </w:tc>
      </w:tr>
      <w:tr w:rsidR="005730DD" w:rsidRPr="005730DD" w14:paraId="0E236B65" w14:textId="77777777">
        <w:trPr>
          <w:tblCellSpacing w:w="15" w:type="dxa"/>
        </w:trPr>
        <w:tc>
          <w:tcPr>
            <w:tcW w:w="0" w:type="auto"/>
            <w:vAlign w:val="center"/>
            <w:hideMark/>
          </w:tcPr>
          <w:p w14:paraId="1B95F9DA" w14:textId="77777777" w:rsidR="005730DD" w:rsidRPr="005730DD" w:rsidRDefault="005730DD" w:rsidP="005730DD">
            <w:pPr>
              <w:bidi/>
            </w:pPr>
            <w:r w:rsidRPr="005730DD">
              <w:t>378</w:t>
            </w:r>
          </w:p>
        </w:tc>
        <w:tc>
          <w:tcPr>
            <w:tcW w:w="0" w:type="auto"/>
            <w:vAlign w:val="center"/>
            <w:hideMark/>
          </w:tcPr>
          <w:p w14:paraId="639ECF79" w14:textId="77777777" w:rsidR="005730DD" w:rsidRPr="005730DD" w:rsidRDefault="005730DD" w:rsidP="005730DD">
            <w:pPr>
              <w:bidi/>
            </w:pPr>
            <w:r w:rsidRPr="005730DD">
              <w:t>3780</w:t>
            </w:r>
          </w:p>
        </w:tc>
        <w:tc>
          <w:tcPr>
            <w:tcW w:w="0" w:type="auto"/>
            <w:vAlign w:val="center"/>
            <w:hideMark/>
          </w:tcPr>
          <w:p w14:paraId="5E8A4666" w14:textId="77777777" w:rsidR="005730DD" w:rsidRPr="005730DD" w:rsidRDefault="005730DD" w:rsidP="005730DD">
            <w:pPr>
              <w:bidi/>
            </w:pPr>
            <w:r w:rsidRPr="005730DD">
              <w:t>3780</w:t>
            </w:r>
          </w:p>
        </w:tc>
        <w:tc>
          <w:tcPr>
            <w:tcW w:w="0" w:type="auto"/>
            <w:vAlign w:val="center"/>
            <w:hideMark/>
          </w:tcPr>
          <w:p w14:paraId="79BB910A" w14:textId="77777777" w:rsidR="005730DD" w:rsidRPr="005730DD" w:rsidRDefault="005730DD" w:rsidP="005730DD">
            <w:pPr>
              <w:bidi/>
            </w:pPr>
            <w:r w:rsidRPr="005730DD">
              <w:t>5400</w:t>
            </w:r>
          </w:p>
        </w:tc>
        <w:tc>
          <w:tcPr>
            <w:tcW w:w="0" w:type="auto"/>
            <w:vAlign w:val="center"/>
            <w:hideMark/>
          </w:tcPr>
          <w:p w14:paraId="2BB8329B" w14:textId="77777777" w:rsidR="005730DD" w:rsidRPr="005730DD" w:rsidRDefault="005730DD" w:rsidP="005730DD">
            <w:pPr>
              <w:bidi/>
            </w:pPr>
            <w:r w:rsidRPr="005730DD">
              <w:t>180000</w:t>
            </w:r>
          </w:p>
        </w:tc>
        <w:tc>
          <w:tcPr>
            <w:tcW w:w="0" w:type="auto"/>
            <w:vAlign w:val="center"/>
            <w:hideMark/>
          </w:tcPr>
          <w:p w14:paraId="547A3574" w14:textId="77777777" w:rsidR="005730DD" w:rsidRPr="005730DD" w:rsidRDefault="005730DD" w:rsidP="005730DD">
            <w:pPr>
              <w:bidi/>
            </w:pPr>
            <w:r w:rsidRPr="005730DD">
              <w:t>300000</w:t>
            </w:r>
          </w:p>
        </w:tc>
        <w:tc>
          <w:tcPr>
            <w:tcW w:w="0" w:type="auto"/>
            <w:vAlign w:val="center"/>
            <w:hideMark/>
          </w:tcPr>
          <w:p w14:paraId="6F61987A" w14:textId="77777777" w:rsidR="005730DD" w:rsidRPr="005730DD" w:rsidRDefault="005730DD" w:rsidP="005730DD">
            <w:pPr>
              <w:bidi/>
            </w:pPr>
            <w:r w:rsidRPr="005730DD">
              <w:rPr>
                <w:rtl/>
              </w:rPr>
              <w:t>الخامسة</w:t>
            </w:r>
          </w:p>
        </w:tc>
      </w:tr>
      <w:tr w:rsidR="005730DD" w:rsidRPr="005730DD" w14:paraId="242032A3" w14:textId="77777777">
        <w:trPr>
          <w:trHeight w:val="300"/>
          <w:tblCellSpacing w:w="15" w:type="dxa"/>
        </w:trPr>
        <w:tc>
          <w:tcPr>
            <w:tcW w:w="0" w:type="auto"/>
            <w:vAlign w:val="center"/>
            <w:hideMark/>
          </w:tcPr>
          <w:p w14:paraId="7FDBCAE5" w14:textId="77777777" w:rsidR="005730DD" w:rsidRPr="005730DD" w:rsidRDefault="005730DD" w:rsidP="005730DD">
            <w:pPr>
              <w:bidi/>
            </w:pPr>
            <w:r w:rsidRPr="005730DD">
              <w:t> </w:t>
            </w:r>
          </w:p>
        </w:tc>
        <w:tc>
          <w:tcPr>
            <w:tcW w:w="0" w:type="auto"/>
            <w:vAlign w:val="center"/>
            <w:hideMark/>
          </w:tcPr>
          <w:p w14:paraId="2E039ECA" w14:textId="77777777" w:rsidR="005730DD" w:rsidRPr="005730DD" w:rsidRDefault="005730DD" w:rsidP="005730DD">
            <w:pPr>
              <w:bidi/>
            </w:pPr>
            <w:r w:rsidRPr="005730DD">
              <w:t> </w:t>
            </w:r>
          </w:p>
        </w:tc>
        <w:tc>
          <w:tcPr>
            <w:tcW w:w="0" w:type="auto"/>
            <w:vAlign w:val="center"/>
            <w:hideMark/>
          </w:tcPr>
          <w:p w14:paraId="5BEF7EED" w14:textId="77777777" w:rsidR="005730DD" w:rsidRPr="005730DD" w:rsidRDefault="005730DD" w:rsidP="005730DD">
            <w:pPr>
              <w:bidi/>
            </w:pPr>
            <w:r w:rsidRPr="005730DD">
              <w:t> </w:t>
            </w:r>
          </w:p>
        </w:tc>
        <w:tc>
          <w:tcPr>
            <w:tcW w:w="0" w:type="auto"/>
            <w:vAlign w:val="center"/>
            <w:hideMark/>
          </w:tcPr>
          <w:p w14:paraId="0DE5383F" w14:textId="77777777" w:rsidR="005730DD" w:rsidRPr="005730DD" w:rsidRDefault="005730DD" w:rsidP="005730DD">
            <w:pPr>
              <w:bidi/>
            </w:pPr>
            <w:r w:rsidRPr="005730DD">
              <w:t> </w:t>
            </w:r>
          </w:p>
        </w:tc>
        <w:tc>
          <w:tcPr>
            <w:tcW w:w="0" w:type="auto"/>
            <w:vAlign w:val="center"/>
            <w:hideMark/>
          </w:tcPr>
          <w:p w14:paraId="2DAB7CD0" w14:textId="77777777" w:rsidR="005730DD" w:rsidRPr="005730DD" w:rsidRDefault="005730DD" w:rsidP="005730DD">
            <w:pPr>
              <w:bidi/>
            </w:pPr>
            <w:r w:rsidRPr="005730DD">
              <w:t> </w:t>
            </w:r>
          </w:p>
        </w:tc>
        <w:tc>
          <w:tcPr>
            <w:tcW w:w="0" w:type="auto"/>
            <w:vAlign w:val="center"/>
            <w:hideMark/>
          </w:tcPr>
          <w:p w14:paraId="26E00CAF" w14:textId="77777777" w:rsidR="005730DD" w:rsidRPr="005730DD" w:rsidRDefault="005730DD" w:rsidP="005730DD">
            <w:pPr>
              <w:bidi/>
            </w:pPr>
            <w:r w:rsidRPr="005730DD">
              <w:t> </w:t>
            </w:r>
          </w:p>
        </w:tc>
        <w:tc>
          <w:tcPr>
            <w:tcW w:w="0" w:type="auto"/>
            <w:vAlign w:val="center"/>
            <w:hideMark/>
          </w:tcPr>
          <w:p w14:paraId="7C53563C" w14:textId="77777777" w:rsidR="005730DD" w:rsidRPr="005730DD" w:rsidRDefault="005730DD" w:rsidP="005730DD">
            <w:pPr>
              <w:bidi/>
            </w:pPr>
            <w:r w:rsidRPr="005730DD">
              <w:t> </w:t>
            </w:r>
          </w:p>
        </w:tc>
      </w:tr>
    </w:tbl>
    <w:p w14:paraId="02434DFE" w14:textId="77777777" w:rsidR="005730DD" w:rsidRPr="005730DD" w:rsidRDefault="005730DD" w:rsidP="005730DD">
      <w:pPr>
        <w:bidi/>
      </w:pPr>
      <w:r w:rsidRPr="005730DD">
        <w:t> </w:t>
      </w:r>
    </w:p>
    <w:p w14:paraId="6B13B448" w14:textId="77777777" w:rsidR="005730DD" w:rsidRPr="005730DD" w:rsidRDefault="005730DD" w:rsidP="005730DD">
      <w:pPr>
        <w:bidi/>
      </w:pPr>
      <w:r w:rsidRPr="005730DD">
        <w:rPr>
          <w:rtl/>
        </w:rPr>
        <w:t>حساب الضريبة على الوحدة غير السكنية ( إدارى / تجارى ) فى ضوء القرار الجمهورى رقم 117 لسنة 2014 ( بحد إعفاء 1200 جنيه )</w:t>
      </w:r>
    </w:p>
    <w:p w14:paraId="6DF81209" w14:textId="77777777" w:rsidR="005730DD" w:rsidRPr="005730DD" w:rsidRDefault="005730DD" w:rsidP="005730DD">
      <w:pPr>
        <w:bidi/>
      </w:pPr>
      <w:r w:rsidRPr="005730DD">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18"/>
        <w:gridCol w:w="1098"/>
        <w:gridCol w:w="1660"/>
        <w:gridCol w:w="1727"/>
        <w:gridCol w:w="1234"/>
        <w:gridCol w:w="1054"/>
        <w:gridCol w:w="669"/>
      </w:tblGrid>
      <w:tr w:rsidR="005730DD" w:rsidRPr="005730DD" w14:paraId="2FBDDEEC" w14:textId="77777777">
        <w:trPr>
          <w:tblCellSpacing w:w="15" w:type="dxa"/>
        </w:trPr>
        <w:tc>
          <w:tcPr>
            <w:tcW w:w="0" w:type="auto"/>
            <w:vAlign w:val="center"/>
            <w:hideMark/>
          </w:tcPr>
          <w:p w14:paraId="60D8D8FB" w14:textId="77777777" w:rsidR="005730DD" w:rsidRPr="005730DD" w:rsidRDefault="005730DD" w:rsidP="005730DD">
            <w:pPr>
              <w:bidi/>
            </w:pPr>
            <w:r w:rsidRPr="005730DD">
              <w:rPr>
                <w:rtl/>
              </w:rPr>
              <w:lastRenderedPageBreak/>
              <w:t>الضريبة السنوية المستحقة</w:t>
            </w:r>
          </w:p>
        </w:tc>
        <w:tc>
          <w:tcPr>
            <w:tcW w:w="0" w:type="auto"/>
            <w:vAlign w:val="center"/>
            <w:hideMark/>
          </w:tcPr>
          <w:p w14:paraId="7A08FCCE" w14:textId="77777777" w:rsidR="005730DD" w:rsidRPr="005730DD" w:rsidRDefault="005730DD" w:rsidP="005730DD">
            <w:pPr>
              <w:bidi/>
            </w:pPr>
            <w:r w:rsidRPr="005730DD">
              <w:rPr>
                <w:rtl/>
              </w:rPr>
              <w:t>وعاء الضريبة</w:t>
            </w:r>
          </w:p>
        </w:tc>
        <w:tc>
          <w:tcPr>
            <w:tcW w:w="0" w:type="auto"/>
            <w:vAlign w:val="center"/>
            <w:hideMark/>
          </w:tcPr>
          <w:p w14:paraId="45D7730E" w14:textId="77777777" w:rsidR="005730DD" w:rsidRPr="005730DD" w:rsidRDefault="005730DD" w:rsidP="005730DD">
            <w:pPr>
              <w:bidi/>
            </w:pPr>
            <w:r w:rsidRPr="005730DD">
              <w:rPr>
                <w:rtl/>
              </w:rPr>
              <w:t>صافى القيمة الإيجارية</w:t>
            </w:r>
          </w:p>
        </w:tc>
        <w:tc>
          <w:tcPr>
            <w:tcW w:w="0" w:type="auto"/>
            <w:vAlign w:val="center"/>
            <w:hideMark/>
          </w:tcPr>
          <w:p w14:paraId="7565C29D" w14:textId="77777777" w:rsidR="005730DD" w:rsidRPr="005730DD" w:rsidRDefault="005730DD" w:rsidP="005730DD">
            <w:pPr>
              <w:bidi/>
            </w:pPr>
            <w:r w:rsidRPr="005730DD">
              <w:rPr>
                <w:rtl/>
              </w:rPr>
              <w:t>القيمة الإيجارية السنوية</w:t>
            </w:r>
          </w:p>
        </w:tc>
        <w:tc>
          <w:tcPr>
            <w:tcW w:w="0" w:type="auto"/>
            <w:vAlign w:val="center"/>
            <w:hideMark/>
          </w:tcPr>
          <w:p w14:paraId="5BE7FBC4" w14:textId="77777777" w:rsidR="005730DD" w:rsidRPr="005730DD" w:rsidRDefault="005730DD" w:rsidP="005730DD">
            <w:pPr>
              <w:bidi/>
            </w:pPr>
            <w:r w:rsidRPr="005730DD">
              <w:rPr>
                <w:rtl/>
              </w:rPr>
              <w:t>القيمة الرأسمالية</w:t>
            </w:r>
          </w:p>
        </w:tc>
        <w:tc>
          <w:tcPr>
            <w:tcW w:w="0" w:type="auto"/>
            <w:vAlign w:val="center"/>
            <w:hideMark/>
          </w:tcPr>
          <w:p w14:paraId="6DB27C6C" w14:textId="77777777" w:rsidR="005730DD" w:rsidRPr="005730DD" w:rsidRDefault="005730DD" w:rsidP="005730DD">
            <w:pPr>
              <w:bidi/>
            </w:pPr>
            <w:r w:rsidRPr="005730DD">
              <w:rPr>
                <w:rtl/>
              </w:rPr>
              <w:t>القيمة السوقية</w:t>
            </w:r>
          </w:p>
        </w:tc>
        <w:tc>
          <w:tcPr>
            <w:tcW w:w="0" w:type="auto"/>
            <w:vAlign w:val="center"/>
            <w:hideMark/>
          </w:tcPr>
          <w:p w14:paraId="735C1C7D" w14:textId="77777777" w:rsidR="005730DD" w:rsidRPr="005730DD" w:rsidRDefault="005730DD" w:rsidP="005730DD">
            <w:pPr>
              <w:bidi/>
            </w:pPr>
            <w:r w:rsidRPr="005730DD">
              <w:rPr>
                <w:rtl/>
              </w:rPr>
              <w:t>الوحدة</w:t>
            </w:r>
          </w:p>
        </w:tc>
      </w:tr>
      <w:tr w:rsidR="005730DD" w:rsidRPr="005730DD" w14:paraId="001349E9" w14:textId="77777777">
        <w:trPr>
          <w:tblCellSpacing w:w="15" w:type="dxa"/>
        </w:trPr>
        <w:tc>
          <w:tcPr>
            <w:tcW w:w="0" w:type="auto"/>
            <w:vAlign w:val="center"/>
            <w:hideMark/>
          </w:tcPr>
          <w:p w14:paraId="221DD2C9" w14:textId="77777777" w:rsidR="005730DD" w:rsidRPr="005730DD" w:rsidRDefault="005730DD" w:rsidP="005730DD">
            <w:pPr>
              <w:bidi/>
            </w:pPr>
            <w:r w:rsidRPr="005730DD">
              <w:t>2,4</w:t>
            </w:r>
          </w:p>
        </w:tc>
        <w:tc>
          <w:tcPr>
            <w:tcW w:w="0" w:type="auto"/>
            <w:vAlign w:val="center"/>
            <w:hideMark/>
          </w:tcPr>
          <w:p w14:paraId="6D2C34B2" w14:textId="77777777" w:rsidR="005730DD" w:rsidRPr="005730DD" w:rsidRDefault="005730DD" w:rsidP="005730DD">
            <w:pPr>
              <w:bidi/>
            </w:pPr>
            <w:r w:rsidRPr="005730DD">
              <w:t>24</w:t>
            </w:r>
          </w:p>
        </w:tc>
        <w:tc>
          <w:tcPr>
            <w:tcW w:w="0" w:type="auto"/>
            <w:vAlign w:val="center"/>
            <w:hideMark/>
          </w:tcPr>
          <w:p w14:paraId="53EE7C09" w14:textId="77777777" w:rsidR="005730DD" w:rsidRPr="005730DD" w:rsidRDefault="005730DD" w:rsidP="005730DD">
            <w:pPr>
              <w:bidi/>
            </w:pPr>
            <w:r w:rsidRPr="005730DD">
              <w:t>1224</w:t>
            </w:r>
          </w:p>
        </w:tc>
        <w:tc>
          <w:tcPr>
            <w:tcW w:w="0" w:type="auto"/>
            <w:vAlign w:val="center"/>
            <w:hideMark/>
          </w:tcPr>
          <w:p w14:paraId="7F194A58" w14:textId="77777777" w:rsidR="005730DD" w:rsidRPr="005730DD" w:rsidRDefault="005730DD" w:rsidP="005730DD">
            <w:pPr>
              <w:bidi/>
            </w:pPr>
            <w:r w:rsidRPr="005730DD">
              <w:t>1800</w:t>
            </w:r>
          </w:p>
        </w:tc>
        <w:tc>
          <w:tcPr>
            <w:tcW w:w="0" w:type="auto"/>
            <w:vAlign w:val="center"/>
            <w:hideMark/>
          </w:tcPr>
          <w:p w14:paraId="08461373" w14:textId="77777777" w:rsidR="005730DD" w:rsidRPr="005730DD" w:rsidRDefault="005730DD" w:rsidP="005730DD">
            <w:pPr>
              <w:bidi/>
            </w:pPr>
            <w:r w:rsidRPr="005730DD">
              <w:t>60000</w:t>
            </w:r>
          </w:p>
        </w:tc>
        <w:tc>
          <w:tcPr>
            <w:tcW w:w="0" w:type="auto"/>
            <w:vAlign w:val="center"/>
            <w:hideMark/>
          </w:tcPr>
          <w:p w14:paraId="0364D176" w14:textId="77777777" w:rsidR="005730DD" w:rsidRPr="005730DD" w:rsidRDefault="005730DD" w:rsidP="005730DD">
            <w:pPr>
              <w:bidi/>
            </w:pPr>
            <w:r w:rsidRPr="005730DD">
              <w:t>100000</w:t>
            </w:r>
          </w:p>
        </w:tc>
        <w:tc>
          <w:tcPr>
            <w:tcW w:w="0" w:type="auto"/>
            <w:vAlign w:val="center"/>
            <w:hideMark/>
          </w:tcPr>
          <w:p w14:paraId="4DC45590" w14:textId="77777777" w:rsidR="005730DD" w:rsidRPr="005730DD" w:rsidRDefault="005730DD" w:rsidP="005730DD">
            <w:pPr>
              <w:bidi/>
            </w:pPr>
            <w:r w:rsidRPr="005730DD">
              <w:rPr>
                <w:rtl/>
              </w:rPr>
              <w:t>الأولى</w:t>
            </w:r>
          </w:p>
        </w:tc>
      </w:tr>
      <w:tr w:rsidR="005730DD" w:rsidRPr="005730DD" w14:paraId="1A3A71FC" w14:textId="77777777">
        <w:trPr>
          <w:tblCellSpacing w:w="15" w:type="dxa"/>
        </w:trPr>
        <w:tc>
          <w:tcPr>
            <w:tcW w:w="0" w:type="auto"/>
            <w:vAlign w:val="center"/>
            <w:hideMark/>
          </w:tcPr>
          <w:p w14:paraId="7F0725E4" w14:textId="77777777" w:rsidR="005730DD" w:rsidRPr="005730DD" w:rsidRDefault="005730DD" w:rsidP="005730DD">
            <w:pPr>
              <w:bidi/>
            </w:pPr>
            <w:r w:rsidRPr="005730DD">
              <w:t>63,6</w:t>
            </w:r>
          </w:p>
        </w:tc>
        <w:tc>
          <w:tcPr>
            <w:tcW w:w="0" w:type="auto"/>
            <w:vAlign w:val="center"/>
            <w:hideMark/>
          </w:tcPr>
          <w:p w14:paraId="50458926" w14:textId="77777777" w:rsidR="005730DD" w:rsidRPr="005730DD" w:rsidRDefault="005730DD" w:rsidP="005730DD">
            <w:pPr>
              <w:bidi/>
            </w:pPr>
            <w:r w:rsidRPr="005730DD">
              <w:t>636</w:t>
            </w:r>
          </w:p>
        </w:tc>
        <w:tc>
          <w:tcPr>
            <w:tcW w:w="0" w:type="auto"/>
            <w:vAlign w:val="center"/>
            <w:hideMark/>
          </w:tcPr>
          <w:p w14:paraId="16AB5EE2" w14:textId="77777777" w:rsidR="005730DD" w:rsidRPr="005730DD" w:rsidRDefault="005730DD" w:rsidP="005730DD">
            <w:pPr>
              <w:bidi/>
            </w:pPr>
            <w:r w:rsidRPr="005730DD">
              <w:t>1836</w:t>
            </w:r>
          </w:p>
        </w:tc>
        <w:tc>
          <w:tcPr>
            <w:tcW w:w="0" w:type="auto"/>
            <w:vAlign w:val="center"/>
            <w:hideMark/>
          </w:tcPr>
          <w:p w14:paraId="4763C30B" w14:textId="77777777" w:rsidR="005730DD" w:rsidRPr="005730DD" w:rsidRDefault="005730DD" w:rsidP="005730DD">
            <w:pPr>
              <w:bidi/>
            </w:pPr>
            <w:r w:rsidRPr="005730DD">
              <w:t>2700</w:t>
            </w:r>
          </w:p>
        </w:tc>
        <w:tc>
          <w:tcPr>
            <w:tcW w:w="0" w:type="auto"/>
            <w:vAlign w:val="center"/>
            <w:hideMark/>
          </w:tcPr>
          <w:p w14:paraId="593E46A6" w14:textId="77777777" w:rsidR="005730DD" w:rsidRPr="005730DD" w:rsidRDefault="005730DD" w:rsidP="005730DD">
            <w:pPr>
              <w:bidi/>
            </w:pPr>
            <w:r w:rsidRPr="005730DD">
              <w:t>90000</w:t>
            </w:r>
          </w:p>
        </w:tc>
        <w:tc>
          <w:tcPr>
            <w:tcW w:w="0" w:type="auto"/>
            <w:vAlign w:val="center"/>
            <w:hideMark/>
          </w:tcPr>
          <w:p w14:paraId="45293D59" w14:textId="77777777" w:rsidR="005730DD" w:rsidRPr="005730DD" w:rsidRDefault="005730DD" w:rsidP="005730DD">
            <w:pPr>
              <w:bidi/>
            </w:pPr>
            <w:r w:rsidRPr="005730DD">
              <w:t>150000</w:t>
            </w:r>
          </w:p>
        </w:tc>
        <w:tc>
          <w:tcPr>
            <w:tcW w:w="0" w:type="auto"/>
            <w:vAlign w:val="center"/>
            <w:hideMark/>
          </w:tcPr>
          <w:p w14:paraId="5A236083" w14:textId="77777777" w:rsidR="005730DD" w:rsidRPr="005730DD" w:rsidRDefault="005730DD" w:rsidP="005730DD">
            <w:pPr>
              <w:bidi/>
            </w:pPr>
            <w:r w:rsidRPr="005730DD">
              <w:rPr>
                <w:rtl/>
              </w:rPr>
              <w:t>الثانية</w:t>
            </w:r>
          </w:p>
        </w:tc>
      </w:tr>
      <w:tr w:rsidR="005730DD" w:rsidRPr="005730DD" w14:paraId="6A5B45C0" w14:textId="77777777">
        <w:trPr>
          <w:tblCellSpacing w:w="15" w:type="dxa"/>
        </w:trPr>
        <w:tc>
          <w:tcPr>
            <w:tcW w:w="0" w:type="auto"/>
            <w:vAlign w:val="center"/>
            <w:hideMark/>
          </w:tcPr>
          <w:p w14:paraId="4F3395B5" w14:textId="77777777" w:rsidR="005730DD" w:rsidRPr="005730DD" w:rsidRDefault="005730DD" w:rsidP="005730DD">
            <w:pPr>
              <w:bidi/>
            </w:pPr>
            <w:r w:rsidRPr="005730DD">
              <w:t>124,8</w:t>
            </w:r>
          </w:p>
        </w:tc>
        <w:tc>
          <w:tcPr>
            <w:tcW w:w="0" w:type="auto"/>
            <w:vAlign w:val="center"/>
            <w:hideMark/>
          </w:tcPr>
          <w:p w14:paraId="09030D56" w14:textId="77777777" w:rsidR="005730DD" w:rsidRPr="005730DD" w:rsidRDefault="005730DD" w:rsidP="005730DD">
            <w:pPr>
              <w:bidi/>
            </w:pPr>
            <w:r w:rsidRPr="005730DD">
              <w:t>1248</w:t>
            </w:r>
          </w:p>
        </w:tc>
        <w:tc>
          <w:tcPr>
            <w:tcW w:w="0" w:type="auto"/>
            <w:vAlign w:val="center"/>
            <w:hideMark/>
          </w:tcPr>
          <w:p w14:paraId="552341C8" w14:textId="77777777" w:rsidR="005730DD" w:rsidRPr="005730DD" w:rsidRDefault="005730DD" w:rsidP="005730DD">
            <w:pPr>
              <w:bidi/>
            </w:pPr>
            <w:r w:rsidRPr="005730DD">
              <w:t>2448</w:t>
            </w:r>
          </w:p>
        </w:tc>
        <w:tc>
          <w:tcPr>
            <w:tcW w:w="0" w:type="auto"/>
            <w:vAlign w:val="center"/>
            <w:hideMark/>
          </w:tcPr>
          <w:p w14:paraId="449F6F92" w14:textId="77777777" w:rsidR="005730DD" w:rsidRPr="005730DD" w:rsidRDefault="005730DD" w:rsidP="005730DD">
            <w:pPr>
              <w:bidi/>
            </w:pPr>
            <w:r w:rsidRPr="005730DD">
              <w:t>3600</w:t>
            </w:r>
          </w:p>
        </w:tc>
        <w:tc>
          <w:tcPr>
            <w:tcW w:w="0" w:type="auto"/>
            <w:vAlign w:val="center"/>
            <w:hideMark/>
          </w:tcPr>
          <w:p w14:paraId="33880CAE" w14:textId="77777777" w:rsidR="005730DD" w:rsidRPr="005730DD" w:rsidRDefault="005730DD" w:rsidP="005730DD">
            <w:pPr>
              <w:bidi/>
            </w:pPr>
            <w:r w:rsidRPr="005730DD">
              <w:t>120000</w:t>
            </w:r>
          </w:p>
        </w:tc>
        <w:tc>
          <w:tcPr>
            <w:tcW w:w="0" w:type="auto"/>
            <w:vAlign w:val="center"/>
            <w:hideMark/>
          </w:tcPr>
          <w:p w14:paraId="055B447C" w14:textId="77777777" w:rsidR="005730DD" w:rsidRPr="005730DD" w:rsidRDefault="005730DD" w:rsidP="005730DD">
            <w:pPr>
              <w:bidi/>
            </w:pPr>
            <w:r w:rsidRPr="005730DD">
              <w:t>200000</w:t>
            </w:r>
          </w:p>
        </w:tc>
        <w:tc>
          <w:tcPr>
            <w:tcW w:w="0" w:type="auto"/>
            <w:vAlign w:val="center"/>
            <w:hideMark/>
          </w:tcPr>
          <w:p w14:paraId="195EF149" w14:textId="77777777" w:rsidR="005730DD" w:rsidRPr="005730DD" w:rsidRDefault="005730DD" w:rsidP="005730DD">
            <w:pPr>
              <w:bidi/>
            </w:pPr>
            <w:r w:rsidRPr="005730DD">
              <w:rPr>
                <w:rtl/>
              </w:rPr>
              <w:t>الثالثة</w:t>
            </w:r>
          </w:p>
        </w:tc>
      </w:tr>
      <w:tr w:rsidR="005730DD" w:rsidRPr="005730DD" w14:paraId="08E762DF" w14:textId="77777777">
        <w:trPr>
          <w:tblCellSpacing w:w="15" w:type="dxa"/>
        </w:trPr>
        <w:tc>
          <w:tcPr>
            <w:tcW w:w="0" w:type="auto"/>
            <w:vAlign w:val="center"/>
            <w:hideMark/>
          </w:tcPr>
          <w:p w14:paraId="4A8FB47C" w14:textId="77777777" w:rsidR="005730DD" w:rsidRPr="005730DD" w:rsidRDefault="005730DD" w:rsidP="005730DD">
            <w:pPr>
              <w:bidi/>
            </w:pPr>
            <w:r w:rsidRPr="005730DD">
              <w:t>247,2</w:t>
            </w:r>
          </w:p>
        </w:tc>
        <w:tc>
          <w:tcPr>
            <w:tcW w:w="0" w:type="auto"/>
            <w:vAlign w:val="center"/>
            <w:hideMark/>
          </w:tcPr>
          <w:p w14:paraId="060BDBCE" w14:textId="77777777" w:rsidR="005730DD" w:rsidRPr="005730DD" w:rsidRDefault="005730DD" w:rsidP="005730DD">
            <w:pPr>
              <w:bidi/>
            </w:pPr>
            <w:r w:rsidRPr="005730DD">
              <w:t>2472</w:t>
            </w:r>
          </w:p>
        </w:tc>
        <w:tc>
          <w:tcPr>
            <w:tcW w:w="0" w:type="auto"/>
            <w:vAlign w:val="center"/>
            <w:hideMark/>
          </w:tcPr>
          <w:p w14:paraId="0FFC30C0" w14:textId="77777777" w:rsidR="005730DD" w:rsidRPr="005730DD" w:rsidRDefault="005730DD" w:rsidP="005730DD">
            <w:pPr>
              <w:bidi/>
            </w:pPr>
            <w:r w:rsidRPr="005730DD">
              <w:t>3672</w:t>
            </w:r>
          </w:p>
        </w:tc>
        <w:tc>
          <w:tcPr>
            <w:tcW w:w="0" w:type="auto"/>
            <w:vAlign w:val="center"/>
            <w:hideMark/>
          </w:tcPr>
          <w:p w14:paraId="58E6F118" w14:textId="77777777" w:rsidR="005730DD" w:rsidRPr="005730DD" w:rsidRDefault="005730DD" w:rsidP="005730DD">
            <w:pPr>
              <w:bidi/>
            </w:pPr>
            <w:r w:rsidRPr="005730DD">
              <w:t>5400</w:t>
            </w:r>
          </w:p>
        </w:tc>
        <w:tc>
          <w:tcPr>
            <w:tcW w:w="0" w:type="auto"/>
            <w:vAlign w:val="center"/>
            <w:hideMark/>
          </w:tcPr>
          <w:p w14:paraId="2EBBFA2A" w14:textId="77777777" w:rsidR="005730DD" w:rsidRPr="005730DD" w:rsidRDefault="005730DD" w:rsidP="005730DD">
            <w:pPr>
              <w:bidi/>
            </w:pPr>
            <w:r w:rsidRPr="005730DD">
              <w:t>180000</w:t>
            </w:r>
          </w:p>
        </w:tc>
        <w:tc>
          <w:tcPr>
            <w:tcW w:w="0" w:type="auto"/>
            <w:vAlign w:val="center"/>
            <w:hideMark/>
          </w:tcPr>
          <w:p w14:paraId="7C78EBEE" w14:textId="77777777" w:rsidR="005730DD" w:rsidRPr="005730DD" w:rsidRDefault="005730DD" w:rsidP="005730DD">
            <w:pPr>
              <w:bidi/>
            </w:pPr>
            <w:r w:rsidRPr="005730DD">
              <w:t>300000</w:t>
            </w:r>
          </w:p>
        </w:tc>
        <w:tc>
          <w:tcPr>
            <w:tcW w:w="0" w:type="auto"/>
            <w:vAlign w:val="center"/>
            <w:hideMark/>
          </w:tcPr>
          <w:p w14:paraId="45FFFF06" w14:textId="77777777" w:rsidR="005730DD" w:rsidRPr="005730DD" w:rsidRDefault="005730DD" w:rsidP="005730DD">
            <w:pPr>
              <w:bidi/>
            </w:pPr>
            <w:r w:rsidRPr="005730DD">
              <w:rPr>
                <w:rtl/>
              </w:rPr>
              <w:t>الرابعة</w:t>
            </w:r>
          </w:p>
        </w:tc>
      </w:tr>
      <w:tr w:rsidR="005730DD" w:rsidRPr="005730DD" w14:paraId="1A1F76FA" w14:textId="77777777">
        <w:trPr>
          <w:tblCellSpacing w:w="15" w:type="dxa"/>
        </w:trPr>
        <w:tc>
          <w:tcPr>
            <w:tcW w:w="0" w:type="auto"/>
            <w:vAlign w:val="center"/>
            <w:hideMark/>
          </w:tcPr>
          <w:p w14:paraId="2FC8C8C0" w14:textId="77777777" w:rsidR="005730DD" w:rsidRPr="005730DD" w:rsidRDefault="005730DD" w:rsidP="005730DD">
            <w:pPr>
              <w:bidi/>
            </w:pPr>
            <w:r w:rsidRPr="005730DD">
              <w:t>492</w:t>
            </w:r>
          </w:p>
        </w:tc>
        <w:tc>
          <w:tcPr>
            <w:tcW w:w="0" w:type="auto"/>
            <w:vAlign w:val="center"/>
            <w:hideMark/>
          </w:tcPr>
          <w:p w14:paraId="44CA2905" w14:textId="77777777" w:rsidR="005730DD" w:rsidRPr="005730DD" w:rsidRDefault="005730DD" w:rsidP="005730DD">
            <w:pPr>
              <w:bidi/>
            </w:pPr>
            <w:r w:rsidRPr="005730DD">
              <w:t>4920</w:t>
            </w:r>
          </w:p>
        </w:tc>
        <w:tc>
          <w:tcPr>
            <w:tcW w:w="0" w:type="auto"/>
            <w:vAlign w:val="center"/>
            <w:hideMark/>
          </w:tcPr>
          <w:p w14:paraId="1A94724B" w14:textId="77777777" w:rsidR="005730DD" w:rsidRPr="005730DD" w:rsidRDefault="005730DD" w:rsidP="005730DD">
            <w:pPr>
              <w:bidi/>
            </w:pPr>
            <w:r w:rsidRPr="005730DD">
              <w:t>6120</w:t>
            </w:r>
          </w:p>
        </w:tc>
        <w:tc>
          <w:tcPr>
            <w:tcW w:w="0" w:type="auto"/>
            <w:vAlign w:val="center"/>
            <w:hideMark/>
          </w:tcPr>
          <w:p w14:paraId="4BF17A0B" w14:textId="77777777" w:rsidR="005730DD" w:rsidRPr="005730DD" w:rsidRDefault="005730DD" w:rsidP="005730DD">
            <w:pPr>
              <w:bidi/>
            </w:pPr>
            <w:r w:rsidRPr="005730DD">
              <w:t>9000</w:t>
            </w:r>
          </w:p>
        </w:tc>
        <w:tc>
          <w:tcPr>
            <w:tcW w:w="0" w:type="auto"/>
            <w:vAlign w:val="center"/>
            <w:hideMark/>
          </w:tcPr>
          <w:p w14:paraId="09E3C6D3" w14:textId="77777777" w:rsidR="005730DD" w:rsidRPr="005730DD" w:rsidRDefault="005730DD" w:rsidP="005730DD">
            <w:pPr>
              <w:bidi/>
            </w:pPr>
            <w:r w:rsidRPr="005730DD">
              <w:t>300000</w:t>
            </w:r>
          </w:p>
        </w:tc>
        <w:tc>
          <w:tcPr>
            <w:tcW w:w="0" w:type="auto"/>
            <w:vAlign w:val="center"/>
            <w:hideMark/>
          </w:tcPr>
          <w:p w14:paraId="024F436E" w14:textId="77777777" w:rsidR="005730DD" w:rsidRPr="005730DD" w:rsidRDefault="005730DD" w:rsidP="005730DD">
            <w:pPr>
              <w:bidi/>
            </w:pPr>
            <w:r w:rsidRPr="005730DD">
              <w:t>500000</w:t>
            </w:r>
          </w:p>
        </w:tc>
        <w:tc>
          <w:tcPr>
            <w:tcW w:w="0" w:type="auto"/>
            <w:vAlign w:val="center"/>
            <w:hideMark/>
          </w:tcPr>
          <w:p w14:paraId="35DA7DF9" w14:textId="77777777" w:rsidR="005730DD" w:rsidRPr="005730DD" w:rsidRDefault="005730DD" w:rsidP="005730DD">
            <w:pPr>
              <w:bidi/>
            </w:pPr>
            <w:r w:rsidRPr="005730DD">
              <w:rPr>
                <w:rtl/>
              </w:rPr>
              <w:t>الخامسة</w:t>
            </w:r>
          </w:p>
        </w:tc>
      </w:tr>
      <w:tr w:rsidR="005730DD" w:rsidRPr="005730DD" w14:paraId="77AE0F54" w14:textId="77777777">
        <w:trPr>
          <w:trHeight w:val="300"/>
          <w:tblCellSpacing w:w="15" w:type="dxa"/>
        </w:trPr>
        <w:tc>
          <w:tcPr>
            <w:tcW w:w="0" w:type="auto"/>
            <w:vAlign w:val="center"/>
            <w:hideMark/>
          </w:tcPr>
          <w:p w14:paraId="4424242B" w14:textId="77777777" w:rsidR="005730DD" w:rsidRPr="005730DD" w:rsidRDefault="005730DD" w:rsidP="005730DD">
            <w:pPr>
              <w:bidi/>
            </w:pPr>
            <w:r w:rsidRPr="005730DD">
              <w:t> </w:t>
            </w:r>
          </w:p>
        </w:tc>
        <w:tc>
          <w:tcPr>
            <w:tcW w:w="0" w:type="auto"/>
            <w:vAlign w:val="center"/>
            <w:hideMark/>
          </w:tcPr>
          <w:p w14:paraId="398C6D2C" w14:textId="77777777" w:rsidR="005730DD" w:rsidRPr="005730DD" w:rsidRDefault="005730DD" w:rsidP="005730DD">
            <w:pPr>
              <w:bidi/>
            </w:pPr>
            <w:r w:rsidRPr="005730DD">
              <w:t> </w:t>
            </w:r>
          </w:p>
        </w:tc>
        <w:tc>
          <w:tcPr>
            <w:tcW w:w="0" w:type="auto"/>
            <w:vAlign w:val="center"/>
            <w:hideMark/>
          </w:tcPr>
          <w:p w14:paraId="5B450BDF" w14:textId="77777777" w:rsidR="005730DD" w:rsidRPr="005730DD" w:rsidRDefault="005730DD" w:rsidP="005730DD">
            <w:pPr>
              <w:bidi/>
            </w:pPr>
            <w:r w:rsidRPr="005730DD">
              <w:t> </w:t>
            </w:r>
          </w:p>
        </w:tc>
        <w:tc>
          <w:tcPr>
            <w:tcW w:w="0" w:type="auto"/>
            <w:vAlign w:val="center"/>
            <w:hideMark/>
          </w:tcPr>
          <w:p w14:paraId="02E55085" w14:textId="77777777" w:rsidR="005730DD" w:rsidRPr="005730DD" w:rsidRDefault="005730DD" w:rsidP="005730DD">
            <w:pPr>
              <w:bidi/>
            </w:pPr>
            <w:r w:rsidRPr="005730DD">
              <w:t> </w:t>
            </w:r>
          </w:p>
        </w:tc>
        <w:tc>
          <w:tcPr>
            <w:tcW w:w="0" w:type="auto"/>
            <w:vAlign w:val="center"/>
            <w:hideMark/>
          </w:tcPr>
          <w:p w14:paraId="324E9E03" w14:textId="77777777" w:rsidR="005730DD" w:rsidRPr="005730DD" w:rsidRDefault="005730DD" w:rsidP="005730DD">
            <w:pPr>
              <w:bidi/>
            </w:pPr>
            <w:r w:rsidRPr="005730DD">
              <w:t> </w:t>
            </w:r>
          </w:p>
        </w:tc>
        <w:tc>
          <w:tcPr>
            <w:tcW w:w="0" w:type="auto"/>
            <w:vAlign w:val="center"/>
            <w:hideMark/>
          </w:tcPr>
          <w:p w14:paraId="0D10AC91" w14:textId="77777777" w:rsidR="005730DD" w:rsidRPr="005730DD" w:rsidRDefault="005730DD" w:rsidP="005730DD">
            <w:pPr>
              <w:bidi/>
            </w:pPr>
            <w:r w:rsidRPr="005730DD">
              <w:t> </w:t>
            </w:r>
          </w:p>
        </w:tc>
        <w:tc>
          <w:tcPr>
            <w:tcW w:w="0" w:type="auto"/>
            <w:vAlign w:val="center"/>
            <w:hideMark/>
          </w:tcPr>
          <w:p w14:paraId="53B8E821" w14:textId="77777777" w:rsidR="005730DD" w:rsidRPr="005730DD" w:rsidRDefault="005730DD" w:rsidP="005730DD">
            <w:pPr>
              <w:bidi/>
            </w:pPr>
            <w:r w:rsidRPr="005730DD">
              <w:t> </w:t>
            </w:r>
          </w:p>
        </w:tc>
      </w:tr>
    </w:tbl>
    <w:p w14:paraId="6B8F0572" w14:textId="77777777" w:rsidR="005730DD" w:rsidRPr="005730DD" w:rsidRDefault="005730DD" w:rsidP="005730DD">
      <w:pPr>
        <w:bidi/>
      </w:pPr>
      <w:r w:rsidRPr="005730DD">
        <w:br/>
      </w:r>
      <w:bookmarkStart w:id="24" w:name="25"/>
      <w:r w:rsidRPr="005730DD">
        <w:rPr>
          <w:rtl/>
        </w:rPr>
        <w:t>أمثله لحساب الضريبة العقارية</w:t>
      </w:r>
      <w:bookmarkEnd w:id="24"/>
    </w:p>
    <w:p w14:paraId="68D0D109" w14:textId="77777777" w:rsidR="005730DD" w:rsidRPr="005730DD" w:rsidRDefault="005730DD" w:rsidP="005730DD">
      <w:pPr>
        <w:bidi/>
      </w:pPr>
      <w:r w:rsidRPr="005730DD">
        <w:t> </w:t>
      </w:r>
    </w:p>
    <w:p w14:paraId="2DF03264" w14:textId="77777777" w:rsidR="005730DD" w:rsidRPr="005730DD" w:rsidRDefault="005730DD" w:rsidP="005730DD">
      <w:pPr>
        <w:bidi/>
      </w:pPr>
      <w:r w:rsidRPr="005730DD">
        <w:rPr>
          <w:rtl/>
        </w:rPr>
        <w:t>حساب الضريبة لوحده سكنية ( مسكن خاص )</w:t>
      </w:r>
      <w:r w:rsidRPr="005730DD">
        <w:t>:</w:t>
      </w:r>
      <w:r w:rsidRPr="005730DD">
        <w:br/>
      </w:r>
      <w:r w:rsidRPr="005730DD">
        <w:rPr>
          <w:rtl/>
        </w:rPr>
        <w:t>القيمة الإيجارية السنوية لها 36000 جنيه</w:t>
      </w:r>
    </w:p>
    <w:p w14:paraId="72CA0449" w14:textId="77777777" w:rsidR="005730DD" w:rsidRPr="005730DD" w:rsidRDefault="005730DD" w:rsidP="005730DD">
      <w:pPr>
        <w:bidi/>
      </w:pPr>
      <w:r w:rsidRPr="005730DD">
        <w:rPr>
          <w:rtl/>
        </w:rPr>
        <w:t>صافى القيمة الإيجارية السنوية = القيمة الإيجارية السنوية * 70</w:t>
      </w:r>
      <w:r w:rsidRPr="005730DD">
        <w:t xml:space="preserve"> %</w:t>
      </w:r>
      <w:r w:rsidRPr="005730DD">
        <w:br/>
      </w:r>
      <w:r w:rsidRPr="005730DD">
        <w:rPr>
          <w:rtl/>
        </w:rPr>
        <w:t>صافى القيمة الإيجارية السنوية = 36000 * 70 % = 25200 جنيه</w:t>
      </w:r>
      <w:r w:rsidRPr="005730DD">
        <w:br/>
      </w:r>
      <w:r w:rsidRPr="005730DD">
        <w:rPr>
          <w:rtl/>
        </w:rPr>
        <w:t>وعاء الضريبة = صافى القيمة الإيجارية السنوية – حد الإعفاء</w:t>
      </w:r>
      <w:r w:rsidRPr="005730DD">
        <w:br/>
      </w:r>
      <w:r w:rsidRPr="005730DD">
        <w:rPr>
          <w:rtl/>
        </w:rPr>
        <w:t>وعاء الضريبة = 25200 - 24000 = 1200 جنيه</w:t>
      </w:r>
      <w:r w:rsidRPr="005730DD">
        <w:br/>
      </w:r>
      <w:r w:rsidRPr="005730DD">
        <w:rPr>
          <w:rtl/>
        </w:rPr>
        <w:t>الضريبة = وعاء الضريبة * 10</w:t>
      </w:r>
      <w:r w:rsidRPr="005730DD">
        <w:t xml:space="preserve"> %</w:t>
      </w:r>
      <w:r w:rsidRPr="005730DD">
        <w:br/>
      </w:r>
      <w:r w:rsidRPr="005730DD">
        <w:rPr>
          <w:rtl/>
        </w:rPr>
        <w:t>الضريبة = 1200 * 10 % = 120 جنيه سنويا</w:t>
      </w:r>
      <w:r w:rsidRPr="005730DD">
        <w:br/>
        <w:t> </w:t>
      </w:r>
    </w:p>
    <w:p w14:paraId="4B135C2E" w14:textId="77777777" w:rsidR="005730DD" w:rsidRPr="005730DD" w:rsidRDefault="005730DD" w:rsidP="005730DD">
      <w:pPr>
        <w:bidi/>
      </w:pPr>
      <w:r w:rsidRPr="005730DD">
        <w:rPr>
          <w:rtl/>
        </w:rPr>
        <w:t>حساب الضريبة لوحده سكنية ( غير المسكن الخاص )</w:t>
      </w:r>
      <w:r w:rsidRPr="005730DD">
        <w:t>:</w:t>
      </w:r>
      <w:r w:rsidRPr="005730DD">
        <w:br/>
      </w:r>
      <w:r w:rsidRPr="005730DD">
        <w:rPr>
          <w:rtl/>
        </w:rPr>
        <w:t>القيمة الإيجارية السنوية لها 36000 جنيه</w:t>
      </w:r>
    </w:p>
    <w:p w14:paraId="40C42DB2" w14:textId="77777777" w:rsidR="005730DD" w:rsidRPr="005730DD" w:rsidRDefault="005730DD" w:rsidP="005730DD">
      <w:pPr>
        <w:bidi/>
      </w:pPr>
      <w:r w:rsidRPr="005730DD">
        <w:rPr>
          <w:rtl/>
        </w:rPr>
        <w:t>صافى القيمة الإيجارية السنوية = القيمة الإيجارية السنوية * 70</w:t>
      </w:r>
      <w:r w:rsidRPr="005730DD">
        <w:t xml:space="preserve"> %</w:t>
      </w:r>
      <w:r w:rsidRPr="005730DD">
        <w:br/>
      </w:r>
      <w:r w:rsidRPr="005730DD">
        <w:rPr>
          <w:rtl/>
        </w:rPr>
        <w:t>صافى القيمة الإيجارية السنوية = 36000 * 70 % = 25200 جنيه</w:t>
      </w:r>
      <w:r w:rsidRPr="005730DD">
        <w:br/>
      </w:r>
      <w:r w:rsidRPr="005730DD">
        <w:rPr>
          <w:rtl/>
        </w:rPr>
        <w:t>الضريبة = وعاء الضريبة * 10</w:t>
      </w:r>
      <w:r w:rsidRPr="005730DD">
        <w:t xml:space="preserve"> %</w:t>
      </w:r>
      <w:r w:rsidRPr="005730DD">
        <w:br/>
      </w:r>
      <w:r w:rsidRPr="005730DD">
        <w:rPr>
          <w:rtl/>
        </w:rPr>
        <w:t>الضريبة = 25200 * 10 % = 2520 جنيه سنويا</w:t>
      </w:r>
      <w:r w:rsidRPr="005730DD">
        <w:br/>
        <w:t> </w:t>
      </w:r>
    </w:p>
    <w:p w14:paraId="4119EF77" w14:textId="77777777" w:rsidR="005730DD" w:rsidRPr="005730DD" w:rsidRDefault="005730DD" w:rsidP="005730DD">
      <w:pPr>
        <w:bidi/>
      </w:pPr>
      <w:r w:rsidRPr="005730DD">
        <w:rPr>
          <w:rtl/>
        </w:rPr>
        <w:t>حساب الضريبة لوحده غير سكنيه ( إدارى / تجارى )</w:t>
      </w:r>
      <w:r w:rsidRPr="005730DD">
        <w:t xml:space="preserve"> :</w:t>
      </w:r>
      <w:r w:rsidRPr="005730DD">
        <w:br/>
      </w:r>
      <w:r w:rsidRPr="005730DD">
        <w:rPr>
          <w:rtl/>
        </w:rPr>
        <w:t>القيمة الإيجارية السنوية لها 2700 جنيه</w:t>
      </w:r>
    </w:p>
    <w:p w14:paraId="1B046DFE" w14:textId="77777777" w:rsidR="005730DD" w:rsidRPr="005730DD" w:rsidRDefault="005730DD" w:rsidP="005730DD">
      <w:pPr>
        <w:bidi/>
      </w:pPr>
      <w:r w:rsidRPr="005730DD">
        <w:rPr>
          <w:rtl/>
        </w:rPr>
        <w:lastRenderedPageBreak/>
        <w:t>صافى القيمة الإيجارية السنوية = القيمة الإيجارية السنوية * 68</w:t>
      </w:r>
      <w:r w:rsidRPr="005730DD">
        <w:t xml:space="preserve"> %</w:t>
      </w:r>
      <w:r w:rsidRPr="005730DD">
        <w:br/>
      </w:r>
      <w:r w:rsidRPr="005730DD">
        <w:rPr>
          <w:rtl/>
        </w:rPr>
        <w:t>صافى القيمة الإيجارية السنوية = 2700 * 68 % = 1836جنيه</w:t>
      </w:r>
      <w:r w:rsidRPr="005730DD">
        <w:br/>
      </w:r>
      <w:r w:rsidRPr="005730DD">
        <w:rPr>
          <w:rtl/>
        </w:rPr>
        <w:t>وعاء الضريبة = صافى القيمة الإيجارية السنوية – حد الإعفاء</w:t>
      </w:r>
      <w:r w:rsidRPr="005730DD">
        <w:br/>
      </w:r>
      <w:r w:rsidRPr="005730DD">
        <w:rPr>
          <w:rtl/>
        </w:rPr>
        <w:t>وعاء الضريبة = 1836- 1200 = 636 جنيه</w:t>
      </w:r>
      <w:r w:rsidRPr="005730DD">
        <w:br/>
      </w:r>
      <w:r w:rsidRPr="005730DD">
        <w:rPr>
          <w:rtl/>
        </w:rPr>
        <w:t>الضريبة = وعاء الضريبة * 10</w:t>
      </w:r>
      <w:r w:rsidRPr="005730DD">
        <w:t xml:space="preserve"> %</w:t>
      </w:r>
      <w:r w:rsidRPr="005730DD">
        <w:br/>
      </w:r>
      <w:r w:rsidRPr="005730DD">
        <w:rPr>
          <w:rtl/>
        </w:rPr>
        <w:t>الضريبة = 636 * 10 % = 63.6 جنيه سنويا</w:t>
      </w:r>
      <w:r w:rsidRPr="005730DD">
        <w:br/>
      </w:r>
      <w:r w:rsidRPr="005730DD">
        <w:br/>
        <w:t> </w:t>
      </w:r>
    </w:p>
    <w:p w14:paraId="5BC8454B" w14:textId="77777777" w:rsidR="00466672" w:rsidRPr="005730DD" w:rsidRDefault="00466672" w:rsidP="005730DD">
      <w:pPr>
        <w:bidi/>
      </w:pPr>
    </w:p>
    <w:sectPr w:rsidR="00466672" w:rsidRPr="005730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0DD"/>
    <w:rsid w:val="0007414C"/>
    <w:rsid w:val="00466672"/>
    <w:rsid w:val="005730DD"/>
    <w:rsid w:val="007252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2A0C0"/>
  <w15:chartTrackingRefBased/>
  <w15:docId w15:val="{A84F7931-3F75-4EF1-A92E-E0C408BCA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5730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5730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5730D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5730D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5730D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5730D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5730D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5730D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5730D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العنوان 1 Char"/>
    <w:basedOn w:val="a0"/>
    <w:link w:val="1"/>
    <w:uiPriority w:val="9"/>
    <w:rsid w:val="005730DD"/>
    <w:rPr>
      <w:rFonts w:asciiTheme="majorHAnsi" w:eastAsiaTheme="majorEastAsia" w:hAnsiTheme="majorHAnsi" w:cstheme="majorBidi"/>
      <w:color w:val="0F4761" w:themeColor="accent1" w:themeShade="BF"/>
      <w:sz w:val="40"/>
      <w:szCs w:val="40"/>
    </w:rPr>
  </w:style>
  <w:style w:type="character" w:customStyle="1" w:styleId="2Char">
    <w:name w:val="عنوان 2 Char"/>
    <w:basedOn w:val="a0"/>
    <w:link w:val="2"/>
    <w:uiPriority w:val="9"/>
    <w:semiHidden/>
    <w:rsid w:val="005730DD"/>
    <w:rPr>
      <w:rFonts w:asciiTheme="majorHAnsi" w:eastAsiaTheme="majorEastAsia" w:hAnsiTheme="majorHAnsi" w:cstheme="majorBidi"/>
      <w:color w:val="0F4761" w:themeColor="accent1" w:themeShade="BF"/>
      <w:sz w:val="32"/>
      <w:szCs w:val="32"/>
    </w:rPr>
  </w:style>
  <w:style w:type="character" w:customStyle="1" w:styleId="3Char">
    <w:name w:val="عنوان 3 Char"/>
    <w:basedOn w:val="a0"/>
    <w:link w:val="3"/>
    <w:uiPriority w:val="9"/>
    <w:semiHidden/>
    <w:rsid w:val="005730DD"/>
    <w:rPr>
      <w:rFonts w:eastAsiaTheme="majorEastAsia" w:cstheme="majorBidi"/>
      <w:color w:val="0F4761" w:themeColor="accent1" w:themeShade="BF"/>
      <w:sz w:val="28"/>
      <w:szCs w:val="28"/>
    </w:rPr>
  </w:style>
  <w:style w:type="character" w:customStyle="1" w:styleId="4Char">
    <w:name w:val="عنوان 4 Char"/>
    <w:basedOn w:val="a0"/>
    <w:link w:val="4"/>
    <w:uiPriority w:val="9"/>
    <w:semiHidden/>
    <w:rsid w:val="005730DD"/>
    <w:rPr>
      <w:rFonts w:eastAsiaTheme="majorEastAsia" w:cstheme="majorBidi"/>
      <w:i/>
      <w:iCs/>
      <w:color w:val="0F4761" w:themeColor="accent1" w:themeShade="BF"/>
    </w:rPr>
  </w:style>
  <w:style w:type="character" w:customStyle="1" w:styleId="5Char">
    <w:name w:val="عنوان 5 Char"/>
    <w:basedOn w:val="a0"/>
    <w:link w:val="5"/>
    <w:uiPriority w:val="9"/>
    <w:semiHidden/>
    <w:rsid w:val="005730DD"/>
    <w:rPr>
      <w:rFonts w:eastAsiaTheme="majorEastAsia" w:cstheme="majorBidi"/>
      <w:color w:val="0F4761" w:themeColor="accent1" w:themeShade="BF"/>
    </w:rPr>
  </w:style>
  <w:style w:type="character" w:customStyle="1" w:styleId="6Char">
    <w:name w:val="عنوان 6 Char"/>
    <w:basedOn w:val="a0"/>
    <w:link w:val="6"/>
    <w:uiPriority w:val="9"/>
    <w:semiHidden/>
    <w:rsid w:val="005730DD"/>
    <w:rPr>
      <w:rFonts w:eastAsiaTheme="majorEastAsia" w:cstheme="majorBidi"/>
      <w:i/>
      <w:iCs/>
      <w:color w:val="595959" w:themeColor="text1" w:themeTint="A6"/>
    </w:rPr>
  </w:style>
  <w:style w:type="character" w:customStyle="1" w:styleId="7Char">
    <w:name w:val="عنوان 7 Char"/>
    <w:basedOn w:val="a0"/>
    <w:link w:val="7"/>
    <w:uiPriority w:val="9"/>
    <w:semiHidden/>
    <w:rsid w:val="005730DD"/>
    <w:rPr>
      <w:rFonts w:eastAsiaTheme="majorEastAsia" w:cstheme="majorBidi"/>
      <w:color w:val="595959" w:themeColor="text1" w:themeTint="A6"/>
    </w:rPr>
  </w:style>
  <w:style w:type="character" w:customStyle="1" w:styleId="8Char">
    <w:name w:val="عنوان 8 Char"/>
    <w:basedOn w:val="a0"/>
    <w:link w:val="8"/>
    <w:uiPriority w:val="9"/>
    <w:semiHidden/>
    <w:rsid w:val="005730DD"/>
    <w:rPr>
      <w:rFonts w:eastAsiaTheme="majorEastAsia" w:cstheme="majorBidi"/>
      <w:i/>
      <w:iCs/>
      <w:color w:val="272727" w:themeColor="text1" w:themeTint="D8"/>
    </w:rPr>
  </w:style>
  <w:style w:type="character" w:customStyle="1" w:styleId="9Char">
    <w:name w:val="عنوان 9 Char"/>
    <w:basedOn w:val="a0"/>
    <w:link w:val="9"/>
    <w:uiPriority w:val="9"/>
    <w:semiHidden/>
    <w:rsid w:val="005730DD"/>
    <w:rPr>
      <w:rFonts w:eastAsiaTheme="majorEastAsia" w:cstheme="majorBidi"/>
      <w:color w:val="272727" w:themeColor="text1" w:themeTint="D8"/>
    </w:rPr>
  </w:style>
  <w:style w:type="paragraph" w:styleId="a3">
    <w:name w:val="Title"/>
    <w:basedOn w:val="a"/>
    <w:next w:val="a"/>
    <w:link w:val="Char"/>
    <w:uiPriority w:val="10"/>
    <w:qFormat/>
    <w:rsid w:val="005730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العنوان Char"/>
    <w:basedOn w:val="a0"/>
    <w:link w:val="a3"/>
    <w:uiPriority w:val="10"/>
    <w:rsid w:val="005730D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5730DD"/>
    <w:pPr>
      <w:numPr>
        <w:ilvl w:val="1"/>
      </w:numPr>
    </w:pPr>
    <w:rPr>
      <w:rFonts w:eastAsiaTheme="majorEastAsia" w:cstheme="majorBidi"/>
      <w:color w:val="595959" w:themeColor="text1" w:themeTint="A6"/>
      <w:spacing w:val="15"/>
      <w:sz w:val="28"/>
      <w:szCs w:val="28"/>
    </w:rPr>
  </w:style>
  <w:style w:type="character" w:customStyle="1" w:styleId="Char0">
    <w:name w:val="عنوان فرعي Char"/>
    <w:basedOn w:val="a0"/>
    <w:link w:val="a4"/>
    <w:uiPriority w:val="11"/>
    <w:rsid w:val="005730DD"/>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5730DD"/>
    <w:pPr>
      <w:spacing w:before="160"/>
      <w:jc w:val="center"/>
    </w:pPr>
    <w:rPr>
      <w:i/>
      <w:iCs/>
      <w:color w:val="404040" w:themeColor="text1" w:themeTint="BF"/>
    </w:rPr>
  </w:style>
  <w:style w:type="character" w:customStyle="1" w:styleId="Char1">
    <w:name w:val="اقتباس Char"/>
    <w:basedOn w:val="a0"/>
    <w:link w:val="a5"/>
    <w:uiPriority w:val="29"/>
    <w:rsid w:val="005730DD"/>
    <w:rPr>
      <w:i/>
      <w:iCs/>
      <w:color w:val="404040" w:themeColor="text1" w:themeTint="BF"/>
    </w:rPr>
  </w:style>
  <w:style w:type="paragraph" w:styleId="a6">
    <w:name w:val="List Paragraph"/>
    <w:basedOn w:val="a"/>
    <w:uiPriority w:val="34"/>
    <w:qFormat/>
    <w:rsid w:val="005730DD"/>
    <w:pPr>
      <w:ind w:left="720"/>
      <w:contextualSpacing/>
    </w:pPr>
  </w:style>
  <w:style w:type="character" w:styleId="a7">
    <w:name w:val="Intense Emphasis"/>
    <w:basedOn w:val="a0"/>
    <w:uiPriority w:val="21"/>
    <w:qFormat/>
    <w:rsid w:val="005730DD"/>
    <w:rPr>
      <w:i/>
      <w:iCs/>
      <w:color w:val="0F4761" w:themeColor="accent1" w:themeShade="BF"/>
    </w:rPr>
  </w:style>
  <w:style w:type="paragraph" w:styleId="a8">
    <w:name w:val="Intense Quote"/>
    <w:basedOn w:val="a"/>
    <w:next w:val="a"/>
    <w:link w:val="Char2"/>
    <w:uiPriority w:val="30"/>
    <w:qFormat/>
    <w:rsid w:val="005730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اقتباس مكثف Char"/>
    <w:basedOn w:val="a0"/>
    <w:link w:val="a8"/>
    <w:uiPriority w:val="30"/>
    <w:rsid w:val="005730DD"/>
    <w:rPr>
      <w:i/>
      <w:iCs/>
      <w:color w:val="0F4761" w:themeColor="accent1" w:themeShade="BF"/>
    </w:rPr>
  </w:style>
  <w:style w:type="character" w:styleId="a9">
    <w:name w:val="Intense Reference"/>
    <w:basedOn w:val="a0"/>
    <w:uiPriority w:val="32"/>
    <w:qFormat/>
    <w:rsid w:val="005730D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1858</Words>
  <Characters>10597</Characters>
  <Application>Microsoft Office Word</Application>
  <DocSecurity>0</DocSecurity>
  <Lines>88</Lines>
  <Paragraphs>24</Paragraphs>
  <ScaleCrop>false</ScaleCrop>
  <Company/>
  <LinksUpToDate>false</LinksUpToDate>
  <CharactersWithSpaces>12431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Office</cp:lastModifiedBy>
  <cp:revision>2</cp:revision>
  <dcterms:created xsi:type="dcterms:W3CDTF">2025-09-11T03:52:00Z</dcterms:created>
  <dcterms:modified xsi:type="dcterms:W3CDTF">2025-09-11T03:52:00Z</dcterms:modified>
</cp:coreProperties>
</file>